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0E7E5" w14:textId="549D5D9A" w:rsidR="0050069F" w:rsidRPr="0050069F" w:rsidRDefault="0050069F" w:rsidP="0050069F">
      <w:pPr>
        <w:pStyle w:val="Titre1"/>
      </w:pPr>
      <w:r w:rsidRPr="0050069F">
        <w:t>Fiche 4 — Le cadre conceptuel comptable</w:t>
      </w:r>
    </w:p>
    <w:p w14:paraId="419CFE0E" w14:textId="77777777" w:rsidR="0050069F" w:rsidRPr="0050069F" w:rsidRDefault="0050069F" w:rsidP="0050069F">
      <w:pPr>
        <w:pStyle w:val="Titre2"/>
        <w:spacing w:before="0" w:after="0"/>
      </w:pPr>
      <w:r w:rsidRPr="0050069F">
        <w:t>1) Définition</w:t>
      </w:r>
    </w:p>
    <w:p w14:paraId="3ECB2BF6" w14:textId="77777777" w:rsidR="0050069F" w:rsidRPr="0050069F" w:rsidRDefault="0050069F" w:rsidP="0050069F">
      <w:pPr>
        <w:spacing w:after="0"/>
      </w:pPr>
      <w:r w:rsidRPr="0050069F">
        <w:t xml:space="preserve">Le cadre conceptuel est une </w:t>
      </w:r>
      <w:r w:rsidRPr="0050069F">
        <w:rPr>
          <w:b/>
          <w:bCs/>
        </w:rPr>
        <w:t>structure théorique de référence</w:t>
      </w:r>
      <w:r w:rsidRPr="0050069F">
        <w:t xml:space="preserve"> qui regroupe les objectifs, principes et concepts fondamentaux de la comptabilité.</w:t>
      </w:r>
      <w:r w:rsidRPr="0050069F">
        <w:br/>
      </w:r>
      <w:r w:rsidRPr="0050069F">
        <w:rPr>
          <w:rFonts w:ascii="Segoe UI Emoji" w:hAnsi="Segoe UI Emoji" w:cs="Segoe UI Emoji"/>
        </w:rPr>
        <w:t>👉</w:t>
      </w:r>
      <w:r w:rsidRPr="0050069F">
        <w:t xml:space="preserve"> Ce n’est </w:t>
      </w:r>
      <w:r w:rsidRPr="0050069F">
        <w:rPr>
          <w:b/>
          <w:bCs/>
        </w:rPr>
        <w:t>pas une norme</w:t>
      </w:r>
      <w:r w:rsidRPr="0050069F">
        <w:t xml:space="preserve">, mais un </w:t>
      </w:r>
      <w:r w:rsidRPr="0050069F">
        <w:rPr>
          <w:b/>
          <w:bCs/>
        </w:rPr>
        <w:t>guide</w:t>
      </w:r>
      <w:r w:rsidRPr="0050069F">
        <w:t xml:space="preserve"> pour :</w:t>
      </w:r>
    </w:p>
    <w:p w14:paraId="13626425" w14:textId="77777777" w:rsidR="0050069F" w:rsidRPr="0050069F" w:rsidRDefault="0050069F" w:rsidP="0050069F">
      <w:pPr>
        <w:numPr>
          <w:ilvl w:val="0"/>
          <w:numId w:val="195"/>
        </w:numPr>
        <w:spacing w:after="0"/>
      </w:pPr>
      <w:r w:rsidRPr="0050069F">
        <w:t>élaborer de nouvelles normes,</w:t>
      </w:r>
    </w:p>
    <w:p w14:paraId="40A8A8DF" w14:textId="77777777" w:rsidR="0050069F" w:rsidRPr="0050069F" w:rsidRDefault="0050069F" w:rsidP="0050069F">
      <w:pPr>
        <w:numPr>
          <w:ilvl w:val="0"/>
          <w:numId w:val="195"/>
        </w:numPr>
        <w:spacing w:after="0"/>
      </w:pPr>
      <w:r w:rsidRPr="0050069F">
        <w:t>interpréter en cas de vide normatif,</w:t>
      </w:r>
    </w:p>
    <w:p w14:paraId="21634D27" w14:textId="77777777" w:rsidR="0050069F" w:rsidRPr="0050069F" w:rsidRDefault="0050069F" w:rsidP="0050069F">
      <w:pPr>
        <w:numPr>
          <w:ilvl w:val="0"/>
          <w:numId w:val="195"/>
        </w:numPr>
        <w:spacing w:after="0"/>
      </w:pPr>
      <w:r w:rsidRPr="0050069F">
        <w:t>harmoniser les pratiques.</w:t>
      </w:r>
    </w:p>
    <w:p w14:paraId="2E487D9A" w14:textId="77777777" w:rsidR="0050069F" w:rsidRPr="0050069F" w:rsidRDefault="0050069F" w:rsidP="0050069F">
      <w:pPr>
        <w:pStyle w:val="Titre2"/>
        <w:spacing w:before="0" w:after="0"/>
      </w:pPr>
      <w:r w:rsidRPr="0050069F">
        <w:t>2) Rôle</w:t>
      </w:r>
    </w:p>
    <w:p w14:paraId="2E074CBF" w14:textId="77777777" w:rsidR="0050069F" w:rsidRPr="0050069F" w:rsidRDefault="0050069F" w:rsidP="0050069F">
      <w:pPr>
        <w:numPr>
          <w:ilvl w:val="0"/>
          <w:numId w:val="196"/>
        </w:numPr>
        <w:spacing w:after="0"/>
      </w:pPr>
      <w:r w:rsidRPr="0050069F">
        <w:t xml:space="preserve">Fournir un </w:t>
      </w:r>
      <w:r w:rsidRPr="0050069F">
        <w:rPr>
          <w:b/>
          <w:bCs/>
        </w:rPr>
        <w:t>socle commun</w:t>
      </w:r>
      <w:r w:rsidRPr="0050069F">
        <w:t xml:space="preserve"> aux normalisateurs (ANC, IASB, FASB).</w:t>
      </w:r>
    </w:p>
    <w:p w14:paraId="69180005" w14:textId="77777777" w:rsidR="0050069F" w:rsidRPr="0050069F" w:rsidRDefault="0050069F" w:rsidP="0050069F">
      <w:pPr>
        <w:numPr>
          <w:ilvl w:val="0"/>
          <w:numId w:val="196"/>
        </w:numPr>
        <w:spacing w:after="0"/>
      </w:pPr>
      <w:r w:rsidRPr="0050069F">
        <w:t xml:space="preserve">Définir les </w:t>
      </w:r>
      <w:r w:rsidRPr="0050069F">
        <w:rPr>
          <w:b/>
          <w:bCs/>
        </w:rPr>
        <w:t>objectifs de l’information financière</w:t>
      </w:r>
      <w:r w:rsidRPr="0050069F">
        <w:t xml:space="preserve"> : pertinence, image fidèle, comparabilité.</w:t>
      </w:r>
    </w:p>
    <w:p w14:paraId="58C5A857" w14:textId="77777777" w:rsidR="0050069F" w:rsidRPr="0050069F" w:rsidRDefault="0050069F" w:rsidP="0050069F">
      <w:pPr>
        <w:numPr>
          <w:ilvl w:val="0"/>
          <w:numId w:val="196"/>
        </w:numPr>
        <w:spacing w:after="0"/>
      </w:pPr>
      <w:r w:rsidRPr="0050069F">
        <w:t>Clarifier les notions fondamentales : patrimoine, actif, passif, charges, produits.</w:t>
      </w:r>
    </w:p>
    <w:p w14:paraId="31D7FA5B" w14:textId="77777777" w:rsidR="0050069F" w:rsidRPr="0050069F" w:rsidRDefault="0050069F" w:rsidP="0050069F">
      <w:pPr>
        <w:numPr>
          <w:ilvl w:val="0"/>
          <w:numId w:val="196"/>
        </w:numPr>
        <w:spacing w:after="0"/>
      </w:pPr>
      <w:r w:rsidRPr="0050069F">
        <w:t xml:space="preserve">Garantir la </w:t>
      </w:r>
      <w:r w:rsidRPr="0050069F">
        <w:rPr>
          <w:b/>
          <w:bCs/>
        </w:rPr>
        <w:t>cohérence</w:t>
      </w:r>
      <w:r w:rsidRPr="0050069F">
        <w:t xml:space="preserve"> entre normes et pratiques.</w:t>
      </w:r>
    </w:p>
    <w:p w14:paraId="7DF9E39F" w14:textId="77777777" w:rsidR="0050069F" w:rsidRPr="0050069F" w:rsidRDefault="0050069F" w:rsidP="0050069F">
      <w:pPr>
        <w:pStyle w:val="Titre2"/>
        <w:spacing w:before="0" w:after="0"/>
      </w:pPr>
      <w:r w:rsidRPr="0050069F">
        <w:t>3) Diversité des cadres conceptuels</w:t>
      </w:r>
    </w:p>
    <w:p w14:paraId="769E3D2D" w14:textId="77777777" w:rsidR="0050069F" w:rsidRPr="0050069F" w:rsidRDefault="0050069F" w:rsidP="0050069F">
      <w:pPr>
        <w:numPr>
          <w:ilvl w:val="0"/>
          <w:numId w:val="197"/>
        </w:numPr>
        <w:spacing w:after="0"/>
      </w:pPr>
      <w:r w:rsidRPr="0050069F">
        <w:rPr>
          <w:b/>
          <w:bCs/>
        </w:rPr>
        <w:t>Américain (FASB)</w:t>
      </w:r>
      <w:r w:rsidRPr="0050069F">
        <w:t xml:space="preserve"> : détaillé, élaboré dans les années 1970.</w:t>
      </w:r>
    </w:p>
    <w:p w14:paraId="2F9DCF46" w14:textId="77777777" w:rsidR="0050069F" w:rsidRPr="0050069F" w:rsidRDefault="0050069F" w:rsidP="0050069F">
      <w:pPr>
        <w:numPr>
          <w:ilvl w:val="0"/>
          <w:numId w:val="197"/>
        </w:numPr>
        <w:spacing w:after="0"/>
      </w:pPr>
      <w:r w:rsidRPr="0050069F">
        <w:rPr>
          <w:b/>
          <w:bCs/>
        </w:rPr>
        <w:t>International (IASB)</w:t>
      </w:r>
      <w:r w:rsidRPr="0050069F">
        <w:t xml:space="preserve"> : adopté en 2001, réformé en 2010, plus concis.</w:t>
      </w:r>
    </w:p>
    <w:p w14:paraId="542587DF" w14:textId="77777777" w:rsidR="0050069F" w:rsidRPr="0050069F" w:rsidRDefault="0050069F" w:rsidP="0050069F">
      <w:pPr>
        <w:numPr>
          <w:ilvl w:val="0"/>
          <w:numId w:val="197"/>
        </w:numPr>
        <w:spacing w:after="0"/>
      </w:pPr>
      <w:r w:rsidRPr="0050069F">
        <w:rPr>
          <w:b/>
          <w:bCs/>
        </w:rPr>
        <w:t>Français</w:t>
      </w:r>
      <w:r w:rsidRPr="0050069F">
        <w:t xml:space="preserve"> : implicite, intégré au </w:t>
      </w:r>
      <w:r w:rsidRPr="0050069F">
        <w:rPr>
          <w:b/>
          <w:bCs/>
        </w:rPr>
        <w:t>Code de commerce</w:t>
      </w:r>
      <w:r w:rsidRPr="0050069F">
        <w:t xml:space="preserve"> et au </w:t>
      </w:r>
      <w:r w:rsidRPr="0050069F">
        <w:rPr>
          <w:b/>
          <w:bCs/>
        </w:rPr>
        <w:t>PCG</w:t>
      </w:r>
      <w:r w:rsidRPr="0050069F">
        <w:t>.</w:t>
      </w:r>
    </w:p>
    <w:p w14:paraId="3EDA4EE1" w14:textId="77777777" w:rsidR="0050069F" w:rsidRPr="0050069F" w:rsidRDefault="0050069F" w:rsidP="0050069F">
      <w:pPr>
        <w:numPr>
          <w:ilvl w:val="0"/>
          <w:numId w:val="197"/>
        </w:numPr>
        <w:spacing w:after="0"/>
      </w:pPr>
      <w:r w:rsidRPr="0050069F">
        <w:rPr>
          <w:b/>
          <w:bCs/>
        </w:rPr>
        <w:t>Projet IASB/FASB</w:t>
      </w:r>
      <w:r w:rsidRPr="0050069F">
        <w:t xml:space="preserve"> : tentative de convergence IFRS/US GAAP (non totalement aboutie).</w:t>
      </w:r>
    </w:p>
    <w:p w14:paraId="1843D076" w14:textId="77777777" w:rsidR="0050069F" w:rsidRPr="0050069F" w:rsidRDefault="0050069F" w:rsidP="0050069F">
      <w:pPr>
        <w:pStyle w:val="Titre2"/>
        <w:spacing w:before="0" w:after="0"/>
      </w:pPr>
      <w:r w:rsidRPr="0050069F">
        <w:t>4) Le cadre conceptuel français (PCG) — Historique et actualité</w:t>
      </w:r>
    </w:p>
    <w:p w14:paraId="7CA10838" w14:textId="77777777" w:rsidR="0050069F" w:rsidRPr="0050069F" w:rsidRDefault="0050069F" w:rsidP="0050069F">
      <w:pPr>
        <w:spacing w:after="0"/>
        <w:rPr>
          <w:b/>
          <w:bCs/>
        </w:rPr>
      </w:pPr>
      <w:r w:rsidRPr="0050069F">
        <w:rPr>
          <w:b/>
          <w:bCs/>
        </w:rPr>
        <w:t>a) Sources</w:t>
      </w:r>
    </w:p>
    <w:p w14:paraId="48C545E1" w14:textId="77777777" w:rsidR="0050069F" w:rsidRPr="0050069F" w:rsidRDefault="0050069F" w:rsidP="0050069F">
      <w:pPr>
        <w:numPr>
          <w:ilvl w:val="0"/>
          <w:numId w:val="198"/>
        </w:numPr>
        <w:spacing w:after="0"/>
      </w:pPr>
      <w:r w:rsidRPr="0050069F">
        <w:rPr>
          <w:b/>
          <w:bCs/>
        </w:rPr>
        <w:t>Code de commerce</w:t>
      </w:r>
    </w:p>
    <w:p w14:paraId="53169431" w14:textId="77777777" w:rsidR="0050069F" w:rsidRPr="0050069F" w:rsidRDefault="0050069F" w:rsidP="0050069F">
      <w:pPr>
        <w:numPr>
          <w:ilvl w:val="0"/>
          <w:numId w:val="198"/>
        </w:numPr>
        <w:spacing w:after="0"/>
      </w:pPr>
      <w:r w:rsidRPr="0050069F">
        <w:rPr>
          <w:b/>
          <w:bCs/>
        </w:rPr>
        <w:t>Plan comptable général (PCG)</w:t>
      </w:r>
      <w:r w:rsidRPr="0050069F">
        <w:t>, consolidé et publié par l’</w:t>
      </w:r>
      <w:r w:rsidRPr="0050069F">
        <w:rPr>
          <w:b/>
          <w:bCs/>
        </w:rPr>
        <w:t>ANC</w:t>
      </w:r>
    </w:p>
    <w:p w14:paraId="243FF245" w14:textId="77777777" w:rsidR="0050069F" w:rsidRPr="0050069F" w:rsidRDefault="0050069F" w:rsidP="0050069F">
      <w:pPr>
        <w:spacing w:after="0"/>
        <w:rPr>
          <w:b/>
          <w:bCs/>
        </w:rPr>
      </w:pPr>
      <w:r w:rsidRPr="0050069F">
        <w:rPr>
          <w:b/>
          <w:bCs/>
        </w:rPr>
        <w:t>b) Historique récent</w:t>
      </w:r>
    </w:p>
    <w:p w14:paraId="443E0C12" w14:textId="77777777" w:rsidR="0050069F" w:rsidRPr="0050069F" w:rsidRDefault="0050069F" w:rsidP="0050069F">
      <w:pPr>
        <w:numPr>
          <w:ilvl w:val="0"/>
          <w:numId w:val="199"/>
        </w:numPr>
        <w:spacing w:after="0"/>
      </w:pPr>
      <w:r w:rsidRPr="0050069F">
        <w:rPr>
          <w:b/>
          <w:bCs/>
        </w:rPr>
        <w:t>2014-2016</w:t>
      </w:r>
      <w:r w:rsidRPr="0050069F">
        <w:t xml:space="preserve"> : refonte du PCG, insertion progressive des principes comptables.</w:t>
      </w:r>
    </w:p>
    <w:p w14:paraId="1B61E190" w14:textId="77777777" w:rsidR="0050069F" w:rsidRPr="0050069F" w:rsidRDefault="0050069F" w:rsidP="0050069F">
      <w:pPr>
        <w:numPr>
          <w:ilvl w:val="0"/>
          <w:numId w:val="199"/>
        </w:numPr>
        <w:spacing w:after="0"/>
      </w:pPr>
      <w:r w:rsidRPr="0050069F">
        <w:rPr>
          <w:b/>
          <w:bCs/>
        </w:rPr>
        <w:t>2019</w:t>
      </w:r>
      <w:r w:rsidRPr="0050069F">
        <w:t xml:space="preserve"> : mise à jour pour intégrer les évolutions fiscales et européennes.</w:t>
      </w:r>
    </w:p>
    <w:p w14:paraId="15170EAF" w14:textId="77777777" w:rsidR="0050069F" w:rsidRPr="0050069F" w:rsidRDefault="0050069F" w:rsidP="0050069F">
      <w:pPr>
        <w:numPr>
          <w:ilvl w:val="0"/>
          <w:numId w:val="199"/>
        </w:numPr>
        <w:spacing w:after="0"/>
      </w:pPr>
      <w:r w:rsidRPr="0050069F">
        <w:rPr>
          <w:b/>
          <w:bCs/>
        </w:rPr>
        <w:t>2022</w:t>
      </w:r>
      <w:r w:rsidRPr="0050069F">
        <w:t xml:space="preserve"> : adoption du </w:t>
      </w:r>
      <w:r w:rsidRPr="0050069F">
        <w:rPr>
          <w:b/>
          <w:bCs/>
        </w:rPr>
        <w:t>règlement ANC 2022-06</w:t>
      </w:r>
      <w:r w:rsidRPr="0050069F">
        <w:t>, qui réforme la présentation des comptes annuels (suppression des transferts de charges, redéfinition du résultat exceptionnel).</w:t>
      </w:r>
    </w:p>
    <w:p w14:paraId="309AF9FC" w14:textId="77777777" w:rsidR="0050069F" w:rsidRPr="0050069F" w:rsidRDefault="0050069F" w:rsidP="0050069F">
      <w:pPr>
        <w:numPr>
          <w:ilvl w:val="0"/>
          <w:numId w:val="199"/>
        </w:numPr>
        <w:spacing w:after="0"/>
      </w:pPr>
      <w:r w:rsidRPr="0050069F">
        <w:rPr>
          <w:b/>
          <w:bCs/>
        </w:rPr>
        <w:t>2025</w:t>
      </w:r>
      <w:r w:rsidRPr="0050069F">
        <w:t xml:space="preserve"> : entrée en vigueur obligatoire du </w:t>
      </w:r>
      <w:r w:rsidRPr="0050069F">
        <w:rPr>
          <w:b/>
          <w:bCs/>
        </w:rPr>
        <w:t>PCG 2025</w:t>
      </w:r>
      <w:r w:rsidRPr="0050069F">
        <w:t>, version consolidée publiée par l’ANC.</w:t>
      </w:r>
    </w:p>
    <w:p w14:paraId="44750B0B" w14:textId="77777777" w:rsidR="0050069F" w:rsidRPr="0050069F" w:rsidRDefault="0050069F" w:rsidP="0050069F">
      <w:pPr>
        <w:spacing w:after="0"/>
        <w:rPr>
          <w:b/>
          <w:bCs/>
        </w:rPr>
      </w:pPr>
      <w:r w:rsidRPr="0050069F">
        <w:rPr>
          <w:b/>
          <w:bCs/>
        </w:rPr>
        <w:t>c) Particularités françaises</w:t>
      </w:r>
    </w:p>
    <w:p w14:paraId="59357E4F" w14:textId="77777777" w:rsidR="0050069F" w:rsidRPr="0050069F" w:rsidRDefault="0050069F" w:rsidP="0050069F">
      <w:pPr>
        <w:numPr>
          <w:ilvl w:val="0"/>
          <w:numId w:val="200"/>
        </w:numPr>
        <w:spacing w:after="0"/>
      </w:pPr>
      <w:r w:rsidRPr="0050069F">
        <w:t xml:space="preserve">Finalité : protection des </w:t>
      </w:r>
      <w:r w:rsidRPr="0050069F">
        <w:rPr>
          <w:b/>
          <w:bCs/>
        </w:rPr>
        <w:t>partenaires de l’entreprise</w:t>
      </w:r>
      <w:r w:rsidRPr="0050069F">
        <w:t xml:space="preserve"> (banques, État, fisc, associés).</w:t>
      </w:r>
    </w:p>
    <w:p w14:paraId="743B8A51" w14:textId="4105CA62" w:rsidR="0050069F" w:rsidRPr="0050069F" w:rsidRDefault="0050069F" w:rsidP="0050069F">
      <w:pPr>
        <w:numPr>
          <w:ilvl w:val="0"/>
          <w:numId w:val="200"/>
        </w:numPr>
        <w:spacing w:after="0"/>
      </w:pPr>
      <w:r w:rsidRPr="0050069F">
        <w:t xml:space="preserve">Principes comptables fondamentaux (Code de commerce + PCG 2025) </w:t>
      </w:r>
    </w:p>
    <w:p w14:paraId="2375CCDC" w14:textId="77777777" w:rsidR="0050069F" w:rsidRPr="0050069F" w:rsidRDefault="0050069F" w:rsidP="0050069F">
      <w:pPr>
        <w:pStyle w:val="Titre2"/>
        <w:spacing w:before="0" w:after="0"/>
      </w:pPr>
      <w:r w:rsidRPr="0050069F">
        <w:t>5) Le cadre conceptuel international (IASB)</w:t>
      </w:r>
    </w:p>
    <w:p w14:paraId="7940DF5F" w14:textId="77777777" w:rsidR="0050069F" w:rsidRPr="0050069F" w:rsidRDefault="0050069F" w:rsidP="0050069F">
      <w:pPr>
        <w:numPr>
          <w:ilvl w:val="0"/>
          <w:numId w:val="201"/>
        </w:numPr>
        <w:spacing w:after="0"/>
      </w:pPr>
      <w:r w:rsidRPr="0050069F">
        <w:t xml:space="preserve">Objectif : fournir une information utile aux </w:t>
      </w:r>
      <w:r w:rsidRPr="0050069F">
        <w:rPr>
          <w:b/>
          <w:bCs/>
        </w:rPr>
        <w:t>investisseurs et créanciers</w:t>
      </w:r>
      <w:r w:rsidRPr="0050069F">
        <w:t>.</w:t>
      </w:r>
    </w:p>
    <w:p w14:paraId="48C63C58" w14:textId="77777777" w:rsidR="0050069F" w:rsidRPr="0050069F" w:rsidRDefault="0050069F" w:rsidP="0050069F">
      <w:pPr>
        <w:numPr>
          <w:ilvl w:val="0"/>
          <w:numId w:val="201"/>
        </w:numPr>
        <w:spacing w:after="0"/>
      </w:pPr>
      <w:r w:rsidRPr="0050069F">
        <w:t xml:space="preserve">Vision </w:t>
      </w:r>
      <w:r w:rsidRPr="0050069F">
        <w:rPr>
          <w:b/>
          <w:bCs/>
        </w:rPr>
        <w:t>économique (anglo-saxonne)</w:t>
      </w:r>
      <w:r w:rsidRPr="0050069F">
        <w:t xml:space="preserve"> </w:t>
      </w:r>
      <w:r w:rsidRPr="0050069F">
        <w:rPr>
          <w:rFonts w:ascii="Arial" w:hAnsi="Arial" w:cs="Arial"/>
        </w:rPr>
        <w:t>→</w:t>
      </w:r>
      <w:r w:rsidRPr="0050069F">
        <w:t xml:space="preserve"> r</w:t>
      </w:r>
      <w:r w:rsidRPr="0050069F">
        <w:rPr>
          <w:rFonts w:cs="Verdana"/>
        </w:rPr>
        <w:t>é</w:t>
      </w:r>
      <w:r w:rsidRPr="0050069F">
        <w:t>alit</w:t>
      </w:r>
      <w:r w:rsidRPr="0050069F">
        <w:rPr>
          <w:rFonts w:cs="Verdana"/>
        </w:rPr>
        <w:t>é</w:t>
      </w:r>
      <w:r w:rsidRPr="0050069F">
        <w:t xml:space="preserve"> </w:t>
      </w:r>
      <w:r w:rsidRPr="0050069F">
        <w:rPr>
          <w:rFonts w:cs="Verdana"/>
        </w:rPr>
        <w:t>é</w:t>
      </w:r>
      <w:r w:rsidRPr="0050069F">
        <w:t>conomique &gt; forme juridique.</w:t>
      </w:r>
    </w:p>
    <w:p w14:paraId="7805C71E" w14:textId="77777777" w:rsidR="0050069F" w:rsidRPr="0050069F" w:rsidRDefault="0050069F" w:rsidP="0050069F">
      <w:pPr>
        <w:numPr>
          <w:ilvl w:val="0"/>
          <w:numId w:val="201"/>
        </w:numPr>
        <w:spacing w:after="0"/>
      </w:pPr>
      <w:r w:rsidRPr="0050069F">
        <w:t>Hypothèse de base : continuité d’exploitation.</w:t>
      </w:r>
    </w:p>
    <w:p w14:paraId="10B4D139" w14:textId="77777777" w:rsidR="0050069F" w:rsidRPr="0050069F" w:rsidRDefault="0050069F" w:rsidP="0050069F">
      <w:pPr>
        <w:numPr>
          <w:ilvl w:val="0"/>
          <w:numId w:val="201"/>
        </w:numPr>
        <w:spacing w:after="0"/>
      </w:pPr>
      <w:r w:rsidRPr="0050069F">
        <w:t>Définitions : actif, passif, capitaux propres, charges, produits.</w:t>
      </w:r>
    </w:p>
    <w:p w14:paraId="03CB2CFC" w14:textId="77777777" w:rsidR="0050069F" w:rsidRPr="0050069F" w:rsidRDefault="0050069F" w:rsidP="0050069F">
      <w:pPr>
        <w:numPr>
          <w:ilvl w:val="0"/>
          <w:numId w:val="201"/>
        </w:numPr>
        <w:spacing w:after="0"/>
      </w:pPr>
      <w:r w:rsidRPr="0050069F">
        <w:t>Caractéristiques qualitatives :</w:t>
      </w:r>
    </w:p>
    <w:p w14:paraId="248978A5" w14:textId="77777777" w:rsidR="0050069F" w:rsidRPr="0050069F" w:rsidRDefault="0050069F" w:rsidP="0050069F">
      <w:pPr>
        <w:numPr>
          <w:ilvl w:val="1"/>
          <w:numId w:val="201"/>
        </w:numPr>
        <w:spacing w:after="0"/>
      </w:pPr>
      <w:r w:rsidRPr="0050069F">
        <w:t>Essentielles : pertinence, image fidèle</w:t>
      </w:r>
    </w:p>
    <w:p w14:paraId="48E61527" w14:textId="77777777" w:rsidR="0050069F" w:rsidRPr="0050069F" w:rsidRDefault="0050069F" w:rsidP="0050069F">
      <w:pPr>
        <w:numPr>
          <w:ilvl w:val="1"/>
          <w:numId w:val="201"/>
        </w:numPr>
        <w:spacing w:after="0"/>
      </w:pPr>
      <w:r w:rsidRPr="0050069F">
        <w:t>Auxiliaires : comparabilité, vérifiabilité, rapidité, intelligibilité</w:t>
      </w:r>
    </w:p>
    <w:p w14:paraId="7C06A9EC" w14:textId="77777777" w:rsidR="0050069F" w:rsidRPr="0050069F" w:rsidRDefault="0050069F" w:rsidP="0050069F">
      <w:pPr>
        <w:pStyle w:val="Titre2"/>
        <w:spacing w:before="0" w:after="0"/>
      </w:pPr>
      <w:r w:rsidRPr="0050069F">
        <w:t>6) Institutions et régulateurs — Historique</w:t>
      </w:r>
    </w:p>
    <w:p w14:paraId="26B1B946" w14:textId="77777777" w:rsidR="0050069F" w:rsidRPr="0050069F" w:rsidRDefault="0050069F" w:rsidP="0050069F">
      <w:pPr>
        <w:numPr>
          <w:ilvl w:val="0"/>
          <w:numId w:val="202"/>
        </w:numPr>
        <w:spacing w:after="0"/>
      </w:pPr>
      <w:r w:rsidRPr="0050069F">
        <w:rPr>
          <w:b/>
          <w:bCs/>
        </w:rPr>
        <w:t>ANC (Autorité des Normes Comptables)</w:t>
      </w:r>
      <w:r w:rsidRPr="0050069F">
        <w:t xml:space="preserve"> : toujours l’organisme français de normalisation.</w:t>
      </w:r>
    </w:p>
    <w:p w14:paraId="0B1D73B2" w14:textId="77777777" w:rsidR="0050069F" w:rsidRPr="0050069F" w:rsidRDefault="0050069F" w:rsidP="0050069F">
      <w:pPr>
        <w:numPr>
          <w:ilvl w:val="0"/>
          <w:numId w:val="202"/>
        </w:numPr>
        <w:spacing w:after="0"/>
      </w:pPr>
      <w:r w:rsidRPr="0050069F">
        <w:rPr>
          <w:b/>
          <w:bCs/>
        </w:rPr>
        <w:t>H3C (Haut Conseil du Commissariat aux Comptes)</w:t>
      </w:r>
      <w:r w:rsidRPr="0050069F">
        <w:t xml:space="preserve"> : supprimé le </w:t>
      </w:r>
      <w:r w:rsidRPr="0050069F">
        <w:rPr>
          <w:b/>
          <w:bCs/>
        </w:rPr>
        <w:t>1er janvier 2024</w:t>
      </w:r>
      <w:r w:rsidRPr="0050069F">
        <w:t>.</w:t>
      </w:r>
    </w:p>
    <w:p w14:paraId="03EC2F29" w14:textId="77777777" w:rsidR="0050069F" w:rsidRPr="0050069F" w:rsidRDefault="0050069F" w:rsidP="0050069F">
      <w:pPr>
        <w:numPr>
          <w:ilvl w:val="0"/>
          <w:numId w:val="202"/>
        </w:numPr>
        <w:spacing w:after="0"/>
      </w:pPr>
      <w:r w:rsidRPr="0050069F">
        <w:rPr>
          <w:b/>
          <w:bCs/>
        </w:rPr>
        <w:t>H2A (Haute Autorité de l’Audit)</w:t>
      </w:r>
      <w:r w:rsidRPr="0050069F">
        <w:t xml:space="preserve"> : nouvelle autorité depuis 2024, compétente pour :</w:t>
      </w:r>
    </w:p>
    <w:p w14:paraId="16D9F3EA" w14:textId="77777777" w:rsidR="0050069F" w:rsidRPr="0050069F" w:rsidRDefault="0050069F" w:rsidP="0050069F">
      <w:pPr>
        <w:numPr>
          <w:ilvl w:val="1"/>
          <w:numId w:val="202"/>
        </w:numPr>
        <w:spacing w:after="0"/>
      </w:pPr>
      <w:r w:rsidRPr="0050069F">
        <w:t>supervision des commissaires aux comptes,</w:t>
      </w:r>
    </w:p>
    <w:p w14:paraId="426F1E71" w14:textId="77777777" w:rsidR="0050069F" w:rsidRPr="0050069F" w:rsidRDefault="0050069F" w:rsidP="0050069F">
      <w:pPr>
        <w:numPr>
          <w:ilvl w:val="1"/>
          <w:numId w:val="202"/>
        </w:numPr>
        <w:spacing w:after="0"/>
      </w:pPr>
      <w:r w:rsidRPr="0050069F">
        <w:t>encadrement de la certification des informations de durabilité (directive CSRD).</w:t>
      </w:r>
    </w:p>
    <w:p w14:paraId="3BEFA500" w14:textId="77777777" w:rsidR="0050069F" w:rsidRPr="0050069F" w:rsidRDefault="0050069F" w:rsidP="0050069F">
      <w:pPr>
        <w:spacing w:after="0"/>
      </w:pPr>
      <w:r w:rsidRPr="0050069F">
        <w:rPr>
          <w:rFonts w:ascii="Segoe UI Emoji" w:hAnsi="Segoe UI Emoji" w:cs="Segoe UI Emoji"/>
        </w:rPr>
        <w:t>👉</w:t>
      </w:r>
      <w:r w:rsidRPr="0050069F">
        <w:t xml:space="preserve"> Cet élargissement traduit l’évolution du rôle de la comptabilité : du </w:t>
      </w:r>
      <w:r w:rsidRPr="0050069F">
        <w:rPr>
          <w:b/>
          <w:bCs/>
        </w:rPr>
        <w:t>patrimoine</w:t>
      </w:r>
      <w:r w:rsidRPr="0050069F">
        <w:t xml:space="preserve"> vers la </w:t>
      </w:r>
      <w:r w:rsidRPr="0050069F">
        <w:rPr>
          <w:b/>
          <w:bCs/>
        </w:rPr>
        <w:t>durabilité</w:t>
      </w:r>
      <w:r w:rsidRPr="0050069F">
        <w:t xml:space="preserve"> et la </w:t>
      </w:r>
      <w:r w:rsidRPr="0050069F">
        <w:rPr>
          <w:b/>
          <w:bCs/>
        </w:rPr>
        <w:t>transparence financière</w:t>
      </w:r>
      <w:r w:rsidRPr="0050069F">
        <w:t>.</w:t>
      </w:r>
    </w:p>
    <w:p w14:paraId="6CF09852" w14:textId="77777777" w:rsidR="0050069F" w:rsidRPr="0050069F" w:rsidRDefault="0050069F" w:rsidP="0050069F">
      <w:pPr>
        <w:pStyle w:val="Titre2"/>
        <w:spacing w:before="0" w:after="0"/>
      </w:pPr>
      <w:r w:rsidRPr="0050069F">
        <w:t>7) Comparaison France vs IASB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7"/>
        <w:gridCol w:w="4153"/>
        <w:gridCol w:w="4681"/>
      </w:tblGrid>
      <w:tr w:rsidR="0050069F" w:rsidRPr="0050069F" w14:paraId="4BA80237" w14:textId="77777777" w:rsidTr="0050069F">
        <w:tc>
          <w:tcPr>
            <w:tcW w:w="0" w:type="auto"/>
            <w:hideMark/>
          </w:tcPr>
          <w:p w14:paraId="65106B5C" w14:textId="77777777" w:rsidR="0050069F" w:rsidRPr="0050069F" w:rsidRDefault="0050069F" w:rsidP="0050069F">
            <w:pPr>
              <w:spacing w:after="0"/>
              <w:rPr>
                <w:b/>
                <w:bCs/>
              </w:rPr>
            </w:pPr>
            <w:r w:rsidRPr="0050069F">
              <w:rPr>
                <w:b/>
                <w:bCs/>
              </w:rPr>
              <w:t>Aspect</w:t>
            </w:r>
          </w:p>
        </w:tc>
        <w:tc>
          <w:tcPr>
            <w:tcW w:w="0" w:type="auto"/>
            <w:hideMark/>
          </w:tcPr>
          <w:p w14:paraId="41F3A614" w14:textId="77777777" w:rsidR="0050069F" w:rsidRPr="0050069F" w:rsidRDefault="0050069F" w:rsidP="0050069F">
            <w:pPr>
              <w:spacing w:after="0"/>
              <w:rPr>
                <w:b/>
                <w:bCs/>
              </w:rPr>
            </w:pPr>
            <w:r w:rsidRPr="0050069F">
              <w:rPr>
                <w:b/>
                <w:bCs/>
              </w:rPr>
              <w:t>Cadre français (PCG)</w:t>
            </w:r>
          </w:p>
        </w:tc>
        <w:tc>
          <w:tcPr>
            <w:tcW w:w="0" w:type="auto"/>
            <w:hideMark/>
          </w:tcPr>
          <w:p w14:paraId="3B371832" w14:textId="77777777" w:rsidR="0050069F" w:rsidRPr="0050069F" w:rsidRDefault="0050069F" w:rsidP="0050069F">
            <w:pPr>
              <w:spacing w:after="0"/>
              <w:rPr>
                <w:b/>
                <w:bCs/>
              </w:rPr>
            </w:pPr>
            <w:r w:rsidRPr="0050069F">
              <w:rPr>
                <w:b/>
                <w:bCs/>
              </w:rPr>
              <w:t>Cadre IASB (IFRS)</w:t>
            </w:r>
          </w:p>
        </w:tc>
      </w:tr>
      <w:tr w:rsidR="0050069F" w:rsidRPr="0050069F" w14:paraId="57FEFA9E" w14:textId="77777777" w:rsidTr="0050069F">
        <w:tc>
          <w:tcPr>
            <w:tcW w:w="0" w:type="auto"/>
            <w:hideMark/>
          </w:tcPr>
          <w:p w14:paraId="0769DFD6" w14:textId="77777777" w:rsidR="0050069F" w:rsidRPr="0050069F" w:rsidRDefault="0050069F" w:rsidP="0050069F">
            <w:pPr>
              <w:spacing w:after="0"/>
            </w:pPr>
            <w:r w:rsidRPr="0050069F">
              <w:t>Finalité</w:t>
            </w:r>
          </w:p>
        </w:tc>
        <w:tc>
          <w:tcPr>
            <w:tcW w:w="0" w:type="auto"/>
            <w:hideMark/>
          </w:tcPr>
          <w:p w14:paraId="03BCBEC8" w14:textId="77777777" w:rsidR="0050069F" w:rsidRPr="0050069F" w:rsidRDefault="0050069F" w:rsidP="0050069F">
            <w:pPr>
              <w:spacing w:after="0"/>
            </w:pPr>
            <w:r w:rsidRPr="0050069F">
              <w:t>Protection juridique des partenaires</w:t>
            </w:r>
          </w:p>
        </w:tc>
        <w:tc>
          <w:tcPr>
            <w:tcW w:w="0" w:type="auto"/>
            <w:hideMark/>
          </w:tcPr>
          <w:p w14:paraId="7AEFAE4F" w14:textId="77777777" w:rsidR="0050069F" w:rsidRPr="0050069F" w:rsidRDefault="0050069F" w:rsidP="0050069F">
            <w:pPr>
              <w:spacing w:after="0"/>
            </w:pPr>
            <w:r w:rsidRPr="0050069F">
              <w:t>Information des investisseurs (marchés)</w:t>
            </w:r>
          </w:p>
        </w:tc>
      </w:tr>
      <w:tr w:rsidR="0050069F" w:rsidRPr="0050069F" w14:paraId="00239233" w14:textId="77777777" w:rsidTr="0050069F">
        <w:tc>
          <w:tcPr>
            <w:tcW w:w="0" w:type="auto"/>
            <w:hideMark/>
          </w:tcPr>
          <w:p w14:paraId="6BE16B38" w14:textId="77777777" w:rsidR="0050069F" w:rsidRPr="0050069F" w:rsidRDefault="0050069F" w:rsidP="0050069F">
            <w:pPr>
              <w:spacing w:after="0"/>
            </w:pPr>
            <w:r w:rsidRPr="0050069F">
              <w:t>Patrimoine</w:t>
            </w:r>
          </w:p>
        </w:tc>
        <w:tc>
          <w:tcPr>
            <w:tcW w:w="0" w:type="auto"/>
            <w:hideMark/>
          </w:tcPr>
          <w:p w14:paraId="41DB2BCB" w14:textId="77777777" w:rsidR="0050069F" w:rsidRPr="0050069F" w:rsidRDefault="0050069F" w:rsidP="0050069F">
            <w:pPr>
              <w:spacing w:after="0"/>
            </w:pPr>
            <w:r w:rsidRPr="0050069F">
              <w:t>Notion centrale</w:t>
            </w:r>
          </w:p>
        </w:tc>
        <w:tc>
          <w:tcPr>
            <w:tcW w:w="0" w:type="auto"/>
            <w:hideMark/>
          </w:tcPr>
          <w:p w14:paraId="102BECAE" w14:textId="77777777" w:rsidR="0050069F" w:rsidRPr="0050069F" w:rsidRDefault="0050069F" w:rsidP="0050069F">
            <w:pPr>
              <w:spacing w:after="0"/>
            </w:pPr>
            <w:r w:rsidRPr="0050069F">
              <w:t>Secondaire, priorité aux flux et performance</w:t>
            </w:r>
          </w:p>
        </w:tc>
      </w:tr>
      <w:tr w:rsidR="0050069F" w:rsidRPr="0050069F" w14:paraId="131CDCF1" w14:textId="77777777" w:rsidTr="0050069F">
        <w:tc>
          <w:tcPr>
            <w:tcW w:w="0" w:type="auto"/>
            <w:hideMark/>
          </w:tcPr>
          <w:p w14:paraId="6FAC70D6" w14:textId="77777777" w:rsidR="0050069F" w:rsidRPr="0050069F" w:rsidRDefault="0050069F" w:rsidP="0050069F">
            <w:pPr>
              <w:spacing w:after="0"/>
            </w:pPr>
            <w:r w:rsidRPr="0050069F">
              <w:t>Principes</w:t>
            </w:r>
          </w:p>
        </w:tc>
        <w:tc>
          <w:tcPr>
            <w:tcW w:w="0" w:type="auto"/>
            <w:hideMark/>
          </w:tcPr>
          <w:p w14:paraId="4571B86E" w14:textId="77777777" w:rsidR="0050069F" w:rsidRPr="0050069F" w:rsidRDefault="0050069F" w:rsidP="0050069F">
            <w:pPr>
              <w:spacing w:after="0"/>
            </w:pPr>
            <w:r w:rsidRPr="0050069F">
              <w:t>Prudence, coût historique, image fidèle</w:t>
            </w:r>
          </w:p>
        </w:tc>
        <w:tc>
          <w:tcPr>
            <w:tcW w:w="0" w:type="auto"/>
            <w:hideMark/>
          </w:tcPr>
          <w:p w14:paraId="36BD3166" w14:textId="77777777" w:rsidR="0050069F" w:rsidRPr="0050069F" w:rsidRDefault="0050069F" w:rsidP="0050069F">
            <w:pPr>
              <w:spacing w:after="0"/>
            </w:pPr>
            <w:r w:rsidRPr="0050069F">
              <w:t>Juste valeur, primauté de la substance</w:t>
            </w:r>
          </w:p>
        </w:tc>
      </w:tr>
      <w:tr w:rsidR="0050069F" w:rsidRPr="0050069F" w14:paraId="39A4734D" w14:textId="77777777" w:rsidTr="0050069F">
        <w:tc>
          <w:tcPr>
            <w:tcW w:w="0" w:type="auto"/>
            <w:hideMark/>
          </w:tcPr>
          <w:p w14:paraId="5554B695" w14:textId="77777777" w:rsidR="0050069F" w:rsidRPr="0050069F" w:rsidRDefault="0050069F" w:rsidP="0050069F">
            <w:pPr>
              <w:spacing w:after="0"/>
            </w:pPr>
            <w:r w:rsidRPr="0050069F">
              <w:t>Destinataires</w:t>
            </w:r>
          </w:p>
        </w:tc>
        <w:tc>
          <w:tcPr>
            <w:tcW w:w="0" w:type="auto"/>
            <w:hideMark/>
          </w:tcPr>
          <w:p w14:paraId="2DED5257" w14:textId="77777777" w:rsidR="0050069F" w:rsidRPr="0050069F" w:rsidRDefault="0050069F" w:rsidP="0050069F">
            <w:pPr>
              <w:spacing w:after="0"/>
            </w:pPr>
            <w:r w:rsidRPr="0050069F">
              <w:t>Partenaires, État, créanciers</w:t>
            </w:r>
          </w:p>
        </w:tc>
        <w:tc>
          <w:tcPr>
            <w:tcW w:w="0" w:type="auto"/>
            <w:hideMark/>
          </w:tcPr>
          <w:p w14:paraId="047C8FC7" w14:textId="77777777" w:rsidR="0050069F" w:rsidRPr="0050069F" w:rsidRDefault="0050069F" w:rsidP="0050069F">
            <w:pPr>
              <w:spacing w:after="0"/>
            </w:pPr>
            <w:r w:rsidRPr="0050069F">
              <w:t>Investisseurs et marché financier</w:t>
            </w:r>
          </w:p>
        </w:tc>
      </w:tr>
      <w:tr w:rsidR="0050069F" w:rsidRPr="0050069F" w14:paraId="6B74C097" w14:textId="77777777" w:rsidTr="0050069F">
        <w:tc>
          <w:tcPr>
            <w:tcW w:w="0" w:type="auto"/>
            <w:hideMark/>
          </w:tcPr>
          <w:p w14:paraId="74E818AD" w14:textId="77777777" w:rsidR="0050069F" w:rsidRPr="0050069F" w:rsidRDefault="0050069F" w:rsidP="0050069F">
            <w:pPr>
              <w:spacing w:after="0"/>
            </w:pPr>
            <w:r w:rsidRPr="0050069F">
              <w:t>Méthode</w:t>
            </w:r>
          </w:p>
        </w:tc>
        <w:tc>
          <w:tcPr>
            <w:tcW w:w="0" w:type="auto"/>
            <w:hideMark/>
          </w:tcPr>
          <w:p w14:paraId="07079E89" w14:textId="77777777" w:rsidR="0050069F" w:rsidRPr="0050069F" w:rsidRDefault="0050069F" w:rsidP="0050069F">
            <w:pPr>
              <w:spacing w:after="0"/>
            </w:pPr>
            <w:r w:rsidRPr="0050069F">
              <w:t>Comptes sociaux (vision juridique)</w:t>
            </w:r>
          </w:p>
        </w:tc>
        <w:tc>
          <w:tcPr>
            <w:tcW w:w="0" w:type="auto"/>
            <w:hideMark/>
          </w:tcPr>
          <w:p w14:paraId="4A59A0A5" w14:textId="77777777" w:rsidR="0050069F" w:rsidRPr="0050069F" w:rsidRDefault="0050069F" w:rsidP="0050069F">
            <w:pPr>
              <w:spacing w:after="0"/>
            </w:pPr>
            <w:r w:rsidRPr="0050069F">
              <w:t>Comptes consolidés (vision économique)</w:t>
            </w:r>
          </w:p>
        </w:tc>
      </w:tr>
    </w:tbl>
    <w:p w14:paraId="10711849" w14:textId="77777777" w:rsidR="0050069F" w:rsidRPr="0050069F" w:rsidRDefault="0050069F" w:rsidP="0050069F">
      <w:pPr>
        <w:pStyle w:val="Titre2"/>
        <w:spacing w:before="0" w:after="0"/>
      </w:pPr>
      <w:r w:rsidRPr="0050069F">
        <w:t>8) Points d’attention</w:t>
      </w:r>
    </w:p>
    <w:p w14:paraId="5DBD7120" w14:textId="77777777" w:rsidR="0050069F" w:rsidRPr="0050069F" w:rsidRDefault="0050069F" w:rsidP="0050069F">
      <w:pPr>
        <w:numPr>
          <w:ilvl w:val="0"/>
          <w:numId w:val="203"/>
        </w:numPr>
        <w:spacing w:after="0"/>
      </w:pPr>
      <w:r w:rsidRPr="0050069F">
        <w:t xml:space="preserve">Le cadre conceptuel est une </w:t>
      </w:r>
      <w:r w:rsidRPr="0050069F">
        <w:rPr>
          <w:b/>
          <w:bCs/>
        </w:rPr>
        <w:t>boussole</w:t>
      </w:r>
      <w:r w:rsidRPr="0050069F">
        <w:t xml:space="preserve"> et non une norme.</w:t>
      </w:r>
    </w:p>
    <w:p w14:paraId="47A9B2D7" w14:textId="77777777" w:rsidR="0050069F" w:rsidRPr="0050069F" w:rsidRDefault="0050069F" w:rsidP="0050069F">
      <w:pPr>
        <w:numPr>
          <w:ilvl w:val="0"/>
          <w:numId w:val="203"/>
        </w:numPr>
        <w:spacing w:after="0"/>
      </w:pPr>
      <w:r w:rsidRPr="0050069F">
        <w:t xml:space="preserve">En France, priorité à la </w:t>
      </w:r>
      <w:r w:rsidRPr="0050069F">
        <w:rPr>
          <w:b/>
          <w:bCs/>
        </w:rPr>
        <w:t>sécurité juridique</w:t>
      </w:r>
      <w:r w:rsidRPr="0050069F">
        <w:t xml:space="preserve"> et à la protection des partenaires.</w:t>
      </w:r>
    </w:p>
    <w:p w14:paraId="543EB041" w14:textId="77777777" w:rsidR="0050069F" w:rsidRPr="0050069F" w:rsidRDefault="0050069F" w:rsidP="0050069F">
      <w:pPr>
        <w:numPr>
          <w:ilvl w:val="0"/>
          <w:numId w:val="203"/>
        </w:numPr>
        <w:spacing w:after="0"/>
      </w:pPr>
      <w:r w:rsidRPr="0050069F">
        <w:t xml:space="preserve">L’IASB privilégie la </w:t>
      </w:r>
      <w:r w:rsidRPr="0050069F">
        <w:rPr>
          <w:b/>
          <w:bCs/>
        </w:rPr>
        <w:t>vision économique</w:t>
      </w:r>
      <w:r w:rsidRPr="0050069F">
        <w:t xml:space="preserve"> et les investisseurs.</w:t>
      </w:r>
    </w:p>
    <w:p w14:paraId="254895D2" w14:textId="39464E1F" w:rsidR="009A110D" w:rsidRPr="009A110D" w:rsidRDefault="009A110D" w:rsidP="0050069F">
      <w:pPr>
        <w:spacing w:after="0"/>
      </w:pPr>
    </w:p>
    <w:sectPr w:rsidR="009A110D" w:rsidRPr="009A110D" w:rsidSect="0050069F">
      <w:footerReference w:type="default" r:id="rId7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FFA4F" w14:textId="77777777" w:rsidR="00992B39" w:rsidRDefault="00992B39" w:rsidP="00F717A1">
      <w:r>
        <w:separator/>
      </w:r>
    </w:p>
  </w:endnote>
  <w:endnote w:type="continuationSeparator" w:id="0">
    <w:p w14:paraId="5F7A47B7" w14:textId="77777777" w:rsidR="00992B39" w:rsidRDefault="00992B39" w:rsidP="00F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884500">
    <w:pPr>
      <w:pStyle w:val="Pieddepage"/>
      <w:tabs>
        <w:tab w:val="clear" w:pos="9072"/>
        <w:tab w:val="right" w:pos="10348"/>
      </w:tabs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61AE6" w14:textId="77777777" w:rsidR="00992B39" w:rsidRDefault="00992B39" w:rsidP="00F717A1">
      <w:r>
        <w:separator/>
      </w:r>
    </w:p>
  </w:footnote>
  <w:footnote w:type="continuationSeparator" w:id="0">
    <w:p w14:paraId="25988918" w14:textId="77777777" w:rsidR="00992B39" w:rsidRDefault="00992B39" w:rsidP="00F7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8F6A0A"/>
    <w:multiLevelType w:val="multilevel"/>
    <w:tmpl w:val="8E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E6E50EF"/>
    <w:multiLevelType w:val="multilevel"/>
    <w:tmpl w:val="49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153638C"/>
    <w:multiLevelType w:val="multilevel"/>
    <w:tmpl w:val="70EE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4E07D82"/>
    <w:multiLevelType w:val="multilevel"/>
    <w:tmpl w:val="717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69A3C00"/>
    <w:multiLevelType w:val="multilevel"/>
    <w:tmpl w:val="11F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994790F"/>
    <w:multiLevelType w:val="multilevel"/>
    <w:tmpl w:val="01FC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A8F05D3"/>
    <w:multiLevelType w:val="multilevel"/>
    <w:tmpl w:val="4B3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F9D79B3"/>
    <w:multiLevelType w:val="multilevel"/>
    <w:tmpl w:val="3A1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FF95D81"/>
    <w:multiLevelType w:val="multilevel"/>
    <w:tmpl w:val="C11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2D175D3"/>
    <w:multiLevelType w:val="multilevel"/>
    <w:tmpl w:val="C79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30061A6"/>
    <w:multiLevelType w:val="multilevel"/>
    <w:tmpl w:val="AB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7D41B53"/>
    <w:multiLevelType w:val="multilevel"/>
    <w:tmpl w:val="DDC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1221E98"/>
    <w:multiLevelType w:val="multilevel"/>
    <w:tmpl w:val="E61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4A25729"/>
    <w:multiLevelType w:val="multilevel"/>
    <w:tmpl w:val="12E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4BB340D"/>
    <w:multiLevelType w:val="multilevel"/>
    <w:tmpl w:val="2C2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9A833B3"/>
    <w:multiLevelType w:val="multilevel"/>
    <w:tmpl w:val="192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9BB7F9A"/>
    <w:multiLevelType w:val="multilevel"/>
    <w:tmpl w:val="0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389229D"/>
    <w:multiLevelType w:val="multilevel"/>
    <w:tmpl w:val="1B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3C4724E"/>
    <w:multiLevelType w:val="multilevel"/>
    <w:tmpl w:val="B0A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F081B13"/>
    <w:multiLevelType w:val="multilevel"/>
    <w:tmpl w:val="DC4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C585CCB"/>
    <w:multiLevelType w:val="multilevel"/>
    <w:tmpl w:val="66B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0513E6F"/>
    <w:multiLevelType w:val="multilevel"/>
    <w:tmpl w:val="B7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4893548"/>
    <w:multiLevelType w:val="multilevel"/>
    <w:tmpl w:val="6CF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663A1DF4"/>
    <w:multiLevelType w:val="multilevel"/>
    <w:tmpl w:val="B2F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6C543457"/>
    <w:multiLevelType w:val="multilevel"/>
    <w:tmpl w:val="479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70C172C0"/>
    <w:multiLevelType w:val="multilevel"/>
    <w:tmpl w:val="13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738620EB"/>
    <w:multiLevelType w:val="multilevel"/>
    <w:tmpl w:val="FCF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758A0A91"/>
    <w:multiLevelType w:val="multilevel"/>
    <w:tmpl w:val="140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7A0608C3"/>
    <w:multiLevelType w:val="multilevel"/>
    <w:tmpl w:val="9F3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7C17484D"/>
    <w:multiLevelType w:val="multilevel"/>
    <w:tmpl w:val="C58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75"/>
  </w:num>
  <w:num w:numId="2" w16cid:durableId="1969772821">
    <w:abstractNumId w:val="60"/>
  </w:num>
  <w:num w:numId="3" w16cid:durableId="993755049">
    <w:abstractNumId w:val="128"/>
  </w:num>
  <w:num w:numId="4" w16cid:durableId="586116025">
    <w:abstractNumId w:val="176"/>
  </w:num>
  <w:num w:numId="5" w16cid:durableId="1702245743">
    <w:abstractNumId w:val="182"/>
  </w:num>
  <w:num w:numId="6" w16cid:durableId="1128276001">
    <w:abstractNumId w:val="96"/>
  </w:num>
  <w:num w:numId="7" w16cid:durableId="299381959">
    <w:abstractNumId w:val="113"/>
  </w:num>
  <w:num w:numId="8" w16cid:durableId="743184661">
    <w:abstractNumId w:val="181"/>
  </w:num>
  <w:num w:numId="9" w16cid:durableId="1202087570">
    <w:abstractNumId w:val="194"/>
  </w:num>
  <w:num w:numId="10" w16cid:durableId="1028410972">
    <w:abstractNumId w:val="97"/>
  </w:num>
  <w:num w:numId="11" w16cid:durableId="210462333">
    <w:abstractNumId w:val="69"/>
  </w:num>
  <w:num w:numId="12" w16cid:durableId="2095080098">
    <w:abstractNumId w:val="61"/>
  </w:num>
  <w:num w:numId="13" w16cid:durableId="1395931051">
    <w:abstractNumId w:val="43"/>
  </w:num>
  <w:num w:numId="14" w16cid:durableId="1108617728">
    <w:abstractNumId w:val="127"/>
  </w:num>
  <w:num w:numId="15" w16cid:durableId="951476451">
    <w:abstractNumId w:val="55"/>
  </w:num>
  <w:num w:numId="16" w16cid:durableId="1267739148">
    <w:abstractNumId w:val="81"/>
  </w:num>
  <w:num w:numId="17" w16cid:durableId="1181970123">
    <w:abstractNumId w:val="103"/>
  </w:num>
  <w:num w:numId="18" w16cid:durableId="451361762">
    <w:abstractNumId w:val="100"/>
  </w:num>
  <w:num w:numId="19" w16cid:durableId="1719695523">
    <w:abstractNumId w:val="157"/>
  </w:num>
  <w:num w:numId="20" w16cid:durableId="1708723590">
    <w:abstractNumId w:val="172"/>
  </w:num>
  <w:num w:numId="21" w16cid:durableId="362706822">
    <w:abstractNumId w:val="9"/>
  </w:num>
  <w:num w:numId="22" w16cid:durableId="429470193">
    <w:abstractNumId w:val="199"/>
  </w:num>
  <w:num w:numId="23" w16cid:durableId="1301614841">
    <w:abstractNumId w:val="63"/>
  </w:num>
  <w:num w:numId="24" w16cid:durableId="555823789">
    <w:abstractNumId w:val="119"/>
  </w:num>
  <w:num w:numId="25" w16cid:durableId="1808740245">
    <w:abstractNumId w:val="161"/>
  </w:num>
  <w:num w:numId="26" w16cid:durableId="905334348">
    <w:abstractNumId w:val="121"/>
  </w:num>
  <w:num w:numId="27" w16cid:durableId="1762139636">
    <w:abstractNumId w:val="198"/>
  </w:num>
  <w:num w:numId="28" w16cid:durableId="623661194">
    <w:abstractNumId w:val="145"/>
  </w:num>
  <w:num w:numId="29" w16cid:durableId="1080519049">
    <w:abstractNumId w:val="186"/>
  </w:num>
  <w:num w:numId="30" w16cid:durableId="1764302913">
    <w:abstractNumId w:val="0"/>
  </w:num>
  <w:num w:numId="31" w16cid:durableId="265162533">
    <w:abstractNumId w:val="70"/>
  </w:num>
  <w:num w:numId="32" w16cid:durableId="1980257717">
    <w:abstractNumId w:val="1"/>
  </w:num>
  <w:num w:numId="33" w16cid:durableId="176776402">
    <w:abstractNumId w:val="191"/>
  </w:num>
  <w:num w:numId="34" w16cid:durableId="1466654264">
    <w:abstractNumId w:val="31"/>
  </w:num>
  <w:num w:numId="35" w16cid:durableId="1989239436">
    <w:abstractNumId w:val="106"/>
  </w:num>
  <w:num w:numId="36" w16cid:durableId="848104552">
    <w:abstractNumId w:val="75"/>
  </w:num>
  <w:num w:numId="37" w16cid:durableId="1857960856">
    <w:abstractNumId w:val="23"/>
  </w:num>
  <w:num w:numId="38" w16cid:durableId="435444936">
    <w:abstractNumId w:val="197"/>
  </w:num>
  <w:num w:numId="39" w16cid:durableId="1903324043">
    <w:abstractNumId w:val="41"/>
  </w:num>
  <w:num w:numId="40" w16cid:durableId="246352112">
    <w:abstractNumId w:val="19"/>
  </w:num>
  <w:num w:numId="41" w16cid:durableId="1024359036">
    <w:abstractNumId w:val="68"/>
  </w:num>
  <w:num w:numId="42" w16cid:durableId="1298218601">
    <w:abstractNumId w:val="101"/>
  </w:num>
  <w:num w:numId="43" w16cid:durableId="234169730">
    <w:abstractNumId w:val="16"/>
  </w:num>
  <w:num w:numId="44" w16cid:durableId="693383009">
    <w:abstractNumId w:val="57"/>
  </w:num>
  <w:num w:numId="45" w16cid:durableId="1686591168">
    <w:abstractNumId w:val="138"/>
  </w:num>
  <w:num w:numId="46" w16cid:durableId="1924727275">
    <w:abstractNumId w:val="131"/>
  </w:num>
  <w:num w:numId="47" w16cid:durableId="218908341">
    <w:abstractNumId w:val="125"/>
  </w:num>
  <w:num w:numId="48" w16cid:durableId="1416515728">
    <w:abstractNumId w:val="140"/>
  </w:num>
  <w:num w:numId="49" w16cid:durableId="1126894720">
    <w:abstractNumId w:val="190"/>
  </w:num>
  <w:num w:numId="50" w16cid:durableId="121045156">
    <w:abstractNumId w:val="115"/>
  </w:num>
  <w:num w:numId="51" w16cid:durableId="1561289923">
    <w:abstractNumId w:val="107"/>
  </w:num>
  <w:num w:numId="52" w16cid:durableId="1769306741">
    <w:abstractNumId w:val="150"/>
  </w:num>
  <w:num w:numId="53" w16cid:durableId="76485141">
    <w:abstractNumId w:val="38"/>
  </w:num>
  <w:num w:numId="54" w16cid:durableId="769201495">
    <w:abstractNumId w:val="132"/>
  </w:num>
  <w:num w:numId="55" w16cid:durableId="1315833412">
    <w:abstractNumId w:val="130"/>
  </w:num>
  <w:num w:numId="56" w16cid:durableId="583806331">
    <w:abstractNumId w:val="2"/>
  </w:num>
  <w:num w:numId="57" w16cid:durableId="1551571157">
    <w:abstractNumId w:val="11"/>
  </w:num>
  <w:num w:numId="58" w16cid:durableId="2070299121">
    <w:abstractNumId w:val="143"/>
  </w:num>
  <w:num w:numId="59" w16cid:durableId="706102380">
    <w:abstractNumId w:val="185"/>
  </w:num>
  <w:num w:numId="60" w16cid:durableId="762652933">
    <w:abstractNumId w:val="44"/>
  </w:num>
  <w:num w:numId="61" w16cid:durableId="1980070124">
    <w:abstractNumId w:val="177"/>
  </w:num>
  <w:num w:numId="62" w16cid:durableId="1751384401">
    <w:abstractNumId w:val="155"/>
  </w:num>
  <w:num w:numId="63" w16cid:durableId="888758772">
    <w:abstractNumId w:val="59"/>
  </w:num>
  <w:num w:numId="64" w16cid:durableId="1428504556">
    <w:abstractNumId w:val="12"/>
  </w:num>
  <w:num w:numId="65" w16cid:durableId="1368019865">
    <w:abstractNumId w:val="200"/>
  </w:num>
  <w:num w:numId="66" w16cid:durableId="1997103089">
    <w:abstractNumId w:val="173"/>
  </w:num>
  <w:num w:numId="67" w16cid:durableId="999576817">
    <w:abstractNumId w:val="192"/>
  </w:num>
  <w:num w:numId="68" w16cid:durableId="1120220483">
    <w:abstractNumId w:val="195"/>
  </w:num>
  <w:num w:numId="69" w16cid:durableId="1251962254">
    <w:abstractNumId w:val="8"/>
  </w:num>
  <w:num w:numId="70" w16cid:durableId="1279601433">
    <w:abstractNumId w:val="102"/>
  </w:num>
  <w:num w:numId="71" w16cid:durableId="1467965383">
    <w:abstractNumId w:val="34"/>
  </w:num>
  <w:num w:numId="72" w16cid:durableId="825433357">
    <w:abstractNumId w:val="29"/>
  </w:num>
  <w:num w:numId="73" w16cid:durableId="1998805076">
    <w:abstractNumId w:val="48"/>
  </w:num>
  <w:num w:numId="74" w16cid:durableId="709107061">
    <w:abstractNumId w:val="33"/>
  </w:num>
  <w:num w:numId="75" w16cid:durableId="1231696408">
    <w:abstractNumId w:val="137"/>
  </w:num>
  <w:num w:numId="76" w16cid:durableId="722605870">
    <w:abstractNumId w:val="88"/>
  </w:num>
  <w:num w:numId="77" w16cid:durableId="129324489">
    <w:abstractNumId w:val="168"/>
  </w:num>
  <w:num w:numId="78" w16cid:durableId="983044799">
    <w:abstractNumId w:val="129"/>
  </w:num>
  <w:num w:numId="79" w16cid:durableId="1135030876">
    <w:abstractNumId w:val="10"/>
  </w:num>
  <w:num w:numId="80" w16cid:durableId="193005106">
    <w:abstractNumId w:val="95"/>
  </w:num>
  <w:num w:numId="81" w16cid:durableId="1651210118">
    <w:abstractNumId w:val="170"/>
  </w:num>
  <w:num w:numId="82" w16cid:durableId="1644046001">
    <w:abstractNumId w:val="74"/>
  </w:num>
  <w:num w:numId="83" w16cid:durableId="1825584539">
    <w:abstractNumId w:val="5"/>
  </w:num>
  <w:num w:numId="84" w16cid:durableId="1457600251">
    <w:abstractNumId w:val="116"/>
  </w:num>
  <w:num w:numId="85" w16cid:durableId="796483808">
    <w:abstractNumId w:val="120"/>
  </w:num>
  <w:num w:numId="86" w16cid:durableId="677079084">
    <w:abstractNumId w:val="85"/>
  </w:num>
  <w:num w:numId="87" w16cid:durableId="1717895316">
    <w:abstractNumId w:val="92"/>
  </w:num>
  <w:num w:numId="88" w16cid:durableId="1381586366">
    <w:abstractNumId w:val="146"/>
  </w:num>
  <w:num w:numId="89" w16cid:durableId="726415045">
    <w:abstractNumId w:val="45"/>
  </w:num>
  <w:num w:numId="90" w16cid:durableId="134374695">
    <w:abstractNumId w:val="147"/>
  </w:num>
  <w:num w:numId="91" w16cid:durableId="1333605177">
    <w:abstractNumId w:val="159"/>
  </w:num>
  <w:num w:numId="92" w16cid:durableId="707990345">
    <w:abstractNumId w:val="86"/>
  </w:num>
  <w:num w:numId="93" w16cid:durableId="1424061098">
    <w:abstractNumId w:val="21"/>
  </w:num>
  <w:num w:numId="94" w16cid:durableId="1238593463">
    <w:abstractNumId w:val="99"/>
  </w:num>
  <w:num w:numId="95" w16cid:durableId="474218565">
    <w:abstractNumId w:val="35"/>
  </w:num>
  <w:num w:numId="96" w16cid:durableId="1305157866">
    <w:abstractNumId w:val="15"/>
  </w:num>
  <w:num w:numId="97" w16cid:durableId="503668382">
    <w:abstractNumId w:val="152"/>
  </w:num>
  <w:num w:numId="98" w16cid:durableId="141898825">
    <w:abstractNumId w:val="66"/>
  </w:num>
  <w:num w:numId="99" w16cid:durableId="322399246">
    <w:abstractNumId w:val="17"/>
  </w:num>
  <w:num w:numId="100" w16cid:durableId="1519343566">
    <w:abstractNumId w:val="26"/>
  </w:num>
  <w:num w:numId="101" w16cid:durableId="1724324996">
    <w:abstractNumId w:val="78"/>
  </w:num>
  <w:num w:numId="102" w16cid:durableId="1758553305">
    <w:abstractNumId w:val="79"/>
  </w:num>
  <w:num w:numId="103" w16cid:durableId="1085539426">
    <w:abstractNumId w:val="65"/>
  </w:num>
  <w:num w:numId="104" w16cid:durableId="1402362524">
    <w:abstractNumId w:val="165"/>
  </w:num>
  <w:num w:numId="105" w16cid:durableId="83691757">
    <w:abstractNumId w:val="149"/>
  </w:num>
  <w:num w:numId="106" w16cid:durableId="1198078696">
    <w:abstractNumId w:val="42"/>
  </w:num>
  <w:num w:numId="107" w16cid:durableId="1240169118">
    <w:abstractNumId w:val="25"/>
  </w:num>
  <w:num w:numId="108" w16cid:durableId="187839146">
    <w:abstractNumId w:val="80"/>
  </w:num>
  <w:num w:numId="109" w16cid:durableId="139004657">
    <w:abstractNumId w:val="162"/>
  </w:num>
  <w:num w:numId="110" w16cid:durableId="835002621">
    <w:abstractNumId w:val="178"/>
  </w:num>
  <w:num w:numId="111" w16cid:durableId="146362569">
    <w:abstractNumId w:val="90"/>
  </w:num>
  <w:num w:numId="112" w16cid:durableId="1851218359">
    <w:abstractNumId w:val="174"/>
  </w:num>
  <w:num w:numId="113" w16cid:durableId="1189637771">
    <w:abstractNumId w:val="6"/>
  </w:num>
  <w:num w:numId="114" w16cid:durableId="1268536209">
    <w:abstractNumId w:val="64"/>
  </w:num>
  <w:num w:numId="115" w16cid:durableId="603001856">
    <w:abstractNumId w:val="73"/>
  </w:num>
  <w:num w:numId="116" w16cid:durableId="41905772">
    <w:abstractNumId w:val="13"/>
  </w:num>
  <w:num w:numId="117" w16cid:durableId="935871616">
    <w:abstractNumId w:val="37"/>
  </w:num>
  <w:num w:numId="118" w16cid:durableId="1768841013">
    <w:abstractNumId w:val="72"/>
  </w:num>
  <w:num w:numId="119" w16cid:durableId="900410431">
    <w:abstractNumId w:val="89"/>
  </w:num>
  <w:num w:numId="120" w16cid:durableId="315885655">
    <w:abstractNumId w:val="49"/>
  </w:num>
  <w:num w:numId="121" w16cid:durableId="1814448626">
    <w:abstractNumId w:val="56"/>
  </w:num>
  <w:num w:numId="122" w16cid:durableId="1097486741">
    <w:abstractNumId w:val="201"/>
  </w:num>
  <w:num w:numId="123" w16cid:durableId="1956865228">
    <w:abstractNumId w:val="4"/>
  </w:num>
  <w:num w:numId="124" w16cid:durableId="1276867340">
    <w:abstractNumId w:val="91"/>
  </w:num>
  <w:num w:numId="125" w16cid:durableId="1608587397">
    <w:abstractNumId w:val="148"/>
  </w:num>
  <w:num w:numId="126" w16cid:durableId="2131439396">
    <w:abstractNumId w:val="151"/>
  </w:num>
  <w:num w:numId="127" w16cid:durableId="1244336791">
    <w:abstractNumId w:val="51"/>
  </w:num>
  <w:num w:numId="128" w16cid:durableId="818154906">
    <w:abstractNumId w:val="153"/>
  </w:num>
  <w:num w:numId="129" w16cid:durableId="1882933843">
    <w:abstractNumId w:val="183"/>
  </w:num>
  <w:num w:numId="130" w16cid:durableId="1056199195">
    <w:abstractNumId w:val="54"/>
  </w:num>
  <w:num w:numId="131" w16cid:durableId="553470426">
    <w:abstractNumId w:val="71"/>
  </w:num>
  <w:num w:numId="132" w16cid:durableId="739669324">
    <w:abstractNumId w:val="163"/>
  </w:num>
  <w:num w:numId="133" w16cid:durableId="1342589866">
    <w:abstractNumId w:val="111"/>
  </w:num>
  <w:num w:numId="134" w16cid:durableId="805589429">
    <w:abstractNumId w:val="179"/>
  </w:num>
  <w:num w:numId="135" w16cid:durableId="1751851846">
    <w:abstractNumId w:val="82"/>
  </w:num>
  <w:num w:numId="136" w16cid:durableId="1035348142">
    <w:abstractNumId w:val="156"/>
  </w:num>
  <w:num w:numId="137" w16cid:durableId="342322650">
    <w:abstractNumId w:val="117"/>
  </w:num>
  <w:num w:numId="138" w16cid:durableId="2021813476">
    <w:abstractNumId w:val="58"/>
  </w:num>
  <w:num w:numId="139" w16cid:durableId="1260796502">
    <w:abstractNumId w:val="118"/>
  </w:num>
  <w:num w:numId="140" w16cid:durableId="211890294">
    <w:abstractNumId w:val="112"/>
  </w:num>
  <w:num w:numId="141" w16cid:durableId="1770925473">
    <w:abstractNumId w:val="144"/>
  </w:num>
  <w:num w:numId="142" w16cid:durableId="192891600">
    <w:abstractNumId w:val="22"/>
  </w:num>
  <w:num w:numId="143" w16cid:durableId="675690864">
    <w:abstractNumId w:val="126"/>
  </w:num>
  <w:num w:numId="144" w16cid:durableId="1495105408">
    <w:abstractNumId w:val="87"/>
  </w:num>
  <w:num w:numId="145" w16cid:durableId="170608313">
    <w:abstractNumId w:val="7"/>
  </w:num>
  <w:num w:numId="146" w16cid:durableId="388725436">
    <w:abstractNumId w:val="167"/>
  </w:num>
  <w:num w:numId="147" w16cid:durableId="1916433450">
    <w:abstractNumId w:val="135"/>
  </w:num>
  <w:num w:numId="148" w16cid:durableId="3675684">
    <w:abstractNumId w:val="105"/>
  </w:num>
  <w:num w:numId="149" w16cid:durableId="1134447677">
    <w:abstractNumId w:val="123"/>
  </w:num>
  <w:num w:numId="150" w16cid:durableId="269163122">
    <w:abstractNumId w:val="114"/>
  </w:num>
  <w:num w:numId="151" w16cid:durableId="596711321">
    <w:abstractNumId w:val="134"/>
  </w:num>
  <w:num w:numId="152" w16cid:durableId="574584926">
    <w:abstractNumId w:val="18"/>
  </w:num>
  <w:num w:numId="153" w16cid:durableId="2109736526">
    <w:abstractNumId w:val="188"/>
  </w:num>
  <w:num w:numId="154" w16cid:durableId="1291741062">
    <w:abstractNumId w:val="202"/>
  </w:num>
  <w:num w:numId="155" w16cid:durableId="1206135565">
    <w:abstractNumId w:val="142"/>
  </w:num>
  <w:num w:numId="156" w16cid:durableId="154761118">
    <w:abstractNumId w:val="110"/>
  </w:num>
  <w:num w:numId="157" w16cid:durableId="6100150">
    <w:abstractNumId w:val="67"/>
  </w:num>
  <w:num w:numId="158" w16cid:durableId="1250579651">
    <w:abstractNumId w:val="77"/>
  </w:num>
  <w:num w:numId="159" w16cid:durableId="356202047">
    <w:abstractNumId w:val="30"/>
  </w:num>
  <w:num w:numId="160" w16cid:durableId="884827526">
    <w:abstractNumId w:val="141"/>
  </w:num>
  <w:num w:numId="161" w16cid:durableId="34549794">
    <w:abstractNumId w:val="50"/>
  </w:num>
  <w:num w:numId="162" w16cid:durableId="1224100997">
    <w:abstractNumId w:val="98"/>
  </w:num>
  <w:num w:numId="163" w16cid:durableId="940256393">
    <w:abstractNumId w:val="154"/>
  </w:num>
  <w:num w:numId="164" w16cid:durableId="1318457270">
    <w:abstractNumId w:val="139"/>
  </w:num>
  <w:num w:numId="165" w16cid:durableId="1415737338">
    <w:abstractNumId w:val="104"/>
  </w:num>
  <w:num w:numId="166" w16cid:durableId="1779907670">
    <w:abstractNumId w:val="40"/>
  </w:num>
  <w:num w:numId="167" w16cid:durableId="1723602264">
    <w:abstractNumId w:val="171"/>
  </w:num>
  <w:num w:numId="168" w16cid:durableId="1451587149">
    <w:abstractNumId w:val="27"/>
  </w:num>
  <w:num w:numId="169" w16cid:durableId="723872476">
    <w:abstractNumId w:val="122"/>
  </w:num>
  <w:num w:numId="170" w16cid:durableId="372077083">
    <w:abstractNumId w:val="136"/>
  </w:num>
  <w:num w:numId="171" w16cid:durableId="62607842">
    <w:abstractNumId w:val="124"/>
  </w:num>
  <w:num w:numId="172" w16cid:durableId="915626482">
    <w:abstractNumId w:val="14"/>
  </w:num>
  <w:num w:numId="173" w16cid:durableId="748817343">
    <w:abstractNumId w:val="164"/>
  </w:num>
  <w:num w:numId="174" w16cid:durableId="1438216128">
    <w:abstractNumId w:val="62"/>
  </w:num>
  <w:num w:numId="175" w16cid:durableId="1443257700">
    <w:abstractNumId w:val="158"/>
  </w:num>
  <w:num w:numId="176" w16cid:durableId="1118377114">
    <w:abstractNumId w:val="28"/>
  </w:num>
  <w:num w:numId="177" w16cid:durableId="353919586">
    <w:abstractNumId w:val="193"/>
  </w:num>
  <w:num w:numId="178" w16cid:durableId="1156804488">
    <w:abstractNumId w:val="47"/>
  </w:num>
  <w:num w:numId="179" w16cid:durableId="10113203">
    <w:abstractNumId w:val="53"/>
  </w:num>
  <w:num w:numId="180" w16cid:durableId="1554924990">
    <w:abstractNumId w:val="76"/>
  </w:num>
  <w:num w:numId="181" w16cid:durableId="776678429">
    <w:abstractNumId w:val="108"/>
  </w:num>
  <w:num w:numId="182" w16cid:durableId="286818004">
    <w:abstractNumId w:val="39"/>
  </w:num>
  <w:num w:numId="183" w16cid:durableId="586352084">
    <w:abstractNumId w:val="160"/>
  </w:num>
  <w:num w:numId="184" w16cid:durableId="94792951">
    <w:abstractNumId w:val="109"/>
  </w:num>
  <w:num w:numId="185" w16cid:durableId="309754411">
    <w:abstractNumId w:val="94"/>
  </w:num>
  <w:num w:numId="186" w16cid:durableId="33771888">
    <w:abstractNumId w:val="52"/>
  </w:num>
  <w:num w:numId="187" w16cid:durableId="687558474">
    <w:abstractNumId w:val="184"/>
  </w:num>
  <w:num w:numId="188" w16cid:durableId="70664397">
    <w:abstractNumId w:val="3"/>
  </w:num>
  <w:num w:numId="189" w16cid:durableId="294680036">
    <w:abstractNumId w:val="196"/>
  </w:num>
  <w:num w:numId="190" w16cid:durableId="1692031726">
    <w:abstractNumId w:val="187"/>
  </w:num>
  <w:num w:numId="191" w16cid:durableId="1066680195">
    <w:abstractNumId w:val="84"/>
  </w:num>
  <w:num w:numId="192" w16cid:durableId="286083286">
    <w:abstractNumId w:val="83"/>
  </w:num>
  <w:num w:numId="193" w16cid:durableId="1120108163">
    <w:abstractNumId w:val="20"/>
  </w:num>
  <w:num w:numId="194" w16cid:durableId="1195267973">
    <w:abstractNumId w:val="93"/>
  </w:num>
  <w:num w:numId="195" w16cid:durableId="235824573">
    <w:abstractNumId w:val="36"/>
  </w:num>
  <w:num w:numId="196" w16cid:durableId="1302736065">
    <w:abstractNumId w:val="133"/>
  </w:num>
  <w:num w:numId="197" w16cid:durableId="1855072565">
    <w:abstractNumId w:val="46"/>
  </w:num>
  <w:num w:numId="198" w16cid:durableId="1005595493">
    <w:abstractNumId w:val="32"/>
  </w:num>
  <w:num w:numId="199" w16cid:durableId="528300868">
    <w:abstractNumId w:val="180"/>
  </w:num>
  <w:num w:numId="200" w16cid:durableId="1263340247">
    <w:abstractNumId w:val="169"/>
  </w:num>
  <w:num w:numId="201" w16cid:durableId="1531724496">
    <w:abstractNumId w:val="24"/>
  </w:num>
  <w:num w:numId="202" w16cid:durableId="696079815">
    <w:abstractNumId w:val="166"/>
  </w:num>
  <w:num w:numId="203" w16cid:durableId="2023429639">
    <w:abstractNumId w:val="1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13594E"/>
    <w:rsid w:val="00135CDD"/>
    <w:rsid w:val="00153AF2"/>
    <w:rsid w:val="00155DB1"/>
    <w:rsid w:val="001666DB"/>
    <w:rsid w:val="001B03F3"/>
    <w:rsid w:val="001C2E5A"/>
    <w:rsid w:val="001F5435"/>
    <w:rsid w:val="001F64D4"/>
    <w:rsid w:val="002439F2"/>
    <w:rsid w:val="002569B2"/>
    <w:rsid w:val="00287044"/>
    <w:rsid w:val="002A33A4"/>
    <w:rsid w:val="002A54D6"/>
    <w:rsid w:val="002F2663"/>
    <w:rsid w:val="00305E8E"/>
    <w:rsid w:val="003437AD"/>
    <w:rsid w:val="00355840"/>
    <w:rsid w:val="00375473"/>
    <w:rsid w:val="003C4213"/>
    <w:rsid w:val="003D4892"/>
    <w:rsid w:val="003D6FF4"/>
    <w:rsid w:val="003E0E50"/>
    <w:rsid w:val="003E639A"/>
    <w:rsid w:val="003E73E6"/>
    <w:rsid w:val="003F7676"/>
    <w:rsid w:val="0042534D"/>
    <w:rsid w:val="00452879"/>
    <w:rsid w:val="004553DB"/>
    <w:rsid w:val="004A6242"/>
    <w:rsid w:val="004B49D6"/>
    <w:rsid w:val="004D247E"/>
    <w:rsid w:val="004E074F"/>
    <w:rsid w:val="0050069F"/>
    <w:rsid w:val="0050112B"/>
    <w:rsid w:val="005221A8"/>
    <w:rsid w:val="00580F46"/>
    <w:rsid w:val="005962A0"/>
    <w:rsid w:val="005B4561"/>
    <w:rsid w:val="005E0DC3"/>
    <w:rsid w:val="00600E05"/>
    <w:rsid w:val="00632C58"/>
    <w:rsid w:val="006460AB"/>
    <w:rsid w:val="00676C42"/>
    <w:rsid w:val="006B5091"/>
    <w:rsid w:val="006C0415"/>
    <w:rsid w:val="006C6336"/>
    <w:rsid w:val="006D099F"/>
    <w:rsid w:val="00713AC4"/>
    <w:rsid w:val="007A1353"/>
    <w:rsid w:val="007E1FF6"/>
    <w:rsid w:val="00800F72"/>
    <w:rsid w:val="00821279"/>
    <w:rsid w:val="008476EE"/>
    <w:rsid w:val="00867BAB"/>
    <w:rsid w:val="00867FF2"/>
    <w:rsid w:val="00884500"/>
    <w:rsid w:val="00894C95"/>
    <w:rsid w:val="008D1926"/>
    <w:rsid w:val="009019C1"/>
    <w:rsid w:val="009115B1"/>
    <w:rsid w:val="00911C39"/>
    <w:rsid w:val="00931ED3"/>
    <w:rsid w:val="00991621"/>
    <w:rsid w:val="00992B39"/>
    <w:rsid w:val="009A110D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AD1593"/>
    <w:rsid w:val="00B649B3"/>
    <w:rsid w:val="00B65E49"/>
    <w:rsid w:val="00B86A01"/>
    <w:rsid w:val="00B9030D"/>
    <w:rsid w:val="00B906BB"/>
    <w:rsid w:val="00B9666C"/>
    <w:rsid w:val="00BA73A4"/>
    <w:rsid w:val="00BB2B03"/>
    <w:rsid w:val="00C03F1D"/>
    <w:rsid w:val="00C44B65"/>
    <w:rsid w:val="00C825EC"/>
    <w:rsid w:val="00C87F06"/>
    <w:rsid w:val="00CA4633"/>
    <w:rsid w:val="00CC4DE7"/>
    <w:rsid w:val="00D00629"/>
    <w:rsid w:val="00D503E9"/>
    <w:rsid w:val="00D9461E"/>
    <w:rsid w:val="00DA6E3D"/>
    <w:rsid w:val="00DD2902"/>
    <w:rsid w:val="00DE760B"/>
    <w:rsid w:val="00E5775F"/>
    <w:rsid w:val="00E9016D"/>
    <w:rsid w:val="00EB4928"/>
    <w:rsid w:val="00F26BAE"/>
    <w:rsid w:val="00F4784B"/>
    <w:rsid w:val="00F47F65"/>
    <w:rsid w:val="00F717A1"/>
    <w:rsid w:val="00F73967"/>
    <w:rsid w:val="00FC1CD2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A1"/>
    <w:pPr>
      <w:spacing w:after="12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1C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7A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17A1"/>
    <w:rPr>
      <w:rFonts w:ascii="Verdana" w:eastAsiaTheme="majorEastAsia" w:hAnsi="Verdana" w:cstheme="majorBidi"/>
      <w:color w:val="0F476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2</cp:revision>
  <cp:lastPrinted>2024-10-21T07:08:00Z</cp:lastPrinted>
  <dcterms:created xsi:type="dcterms:W3CDTF">2025-09-26T07:13:00Z</dcterms:created>
  <dcterms:modified xsi:type="dcterms:W3CDTF">2025-09-26T07:13:00Z</dcterms:modified>
</cp:coreProperties>
</file>