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A1A6" w14:textId="2BE65837" w:rsidR="00357A86" w:rsidRPr="00357A86" w:rsidRDefault="00357A86" w:rsidP="00357A86">
      <w:pPr>
        <w:pStyle w:val="Titre1"/>
      </w:pPr>
      <w:r w:rsidRPr="00357A86">
        <w:t>Fiche 5 — La normalisation comptable</w:t>
      </w:r>
    </w:p>
    <w:p w14:paraId="3E0E5EEE" w14:textId="77777777" w:rsidR="00357A86" w:rsidRPr="00357A86" w:rsidRDefault="00357A86" w:rsidP="00357A86">
      <w:pPr>
        <w:pStyle w:val="Titre2"/>
        <w:spacing w:before="0" w:after="0"/>
      </w:pPr>
      <w:r w:rsidRPr="00357A86">
        <w:t>A) Définitions</w:t>
      </w:r>
    </w:p>
    <w:p w14:paraId="485CB397" w14:textId="77777777" w:rsidR="00357A86" w:rsidRPr="00357A86" w:rsidRDefault="00357A86" w:rsidP="00357A86">
      <w:pPr>
        <w:numPr>
          <w:ilvl w:val="0"/>
          <w:numId w:val="212"/>
        </w:numPr>
        <w:spacing w:after="0"/>
      </w:pPr>
      <w:r w:rsidRPr="00357A86">
        <w:rPr>
          <w:b/>
          <w:bCs/>
        </w:rPr>
        <w:t>Normalisation comptable</w:t>
      </w:r>
      <w:r w:rsidRPr="00357A86">
        <w:t xml:space="preserve"> : processus d’élaboration des règles applicables à toute comptabilité.</w:t>
      </w:r>
    </w:p>
    <w:p w14:paraId="27628D9C" w14:textId="77777777" w:rsidR="00357A86" w:rsidRPr="00357A86" w:rsidRDefault="00357A86" w:rsidP="00357A86">
      <w:pPr>
        <w:numPr>
          <w:ilvl w:val="0"/>
          <w:numId w:val="212"/>
        </w:numPr>
        <w:spacing w:after="0"/>
      </w:pPr>
      <w:r w:rsidRPr="00357A86">
        <w:rPr>
          <w:b/>
          <w:bCs/>
        </w:rPr>
        <w:t>Normes comptables</w:t>
      </w:r>
      <w:r w:rsidRPr="00357A86">
        <w:t xml:space="preserve"> : règles d’évaluation et de présentation de l’information financière applicables à toute entité soumise à l’obligation d’établir des comptes annuels.</w:t>
      </w:r>
    </w:p>
    <w:p w14:paraId="0ADF66C7" w14:textId="77777777" w:rsidR="00357A86" w:rsidRPr="00357A86" w:rsidRDefault="00357A86" w:rsidP="00357A86">
      <w:pPr>
        <w:numPr>
          <w:ilvl w:val="0"/>
          <w:numId w:val="212"/>
        </w:numPr>
        <w:spacing w:after="0"/>
      </w:pPr>
      <w:r w:rsidRPr="00357A86">
        <w:rPr>
          <w:b/>
          <w:bCs/>
        </w:rPr>
        <w:t>Normes professionnelles</w:t>
      </w:r>
      <w:r w:rsidRPr="00357A86">
        <w:t xml:space="preserve"> : encadrent la mise en œuvre des missions des professionnels (experts-comptables, commissaires aux comptes).</w:t>
      </w:r>
      <w:r w:rsidRPr="00357A86">
        <w:br/>
      </w:r>
      <w:r w:rsidRPr="00357A86">
        <w:rPr>
          <w:rFonts w:ascii="Segoe UI Emoji" w:hAnsi="Segoe UI Emoji" w:cs="Segoe UI Emoji"/>
        </w:rPr>
        <w:t>👉</w:t>
      </w:r>
      <w:r w:rsidRPr="00357A86">
        <w:t xml:space="preserve"> Leur non-respect engage la </w:t>
      </w:r>
      <w:r w:rsidRPr="00357A86">
        <w:rPr>
          <w:b/>
          <w:bCs/>
        </w:rPr>
        <w:t>responsabilité</w:t>
      </w:r>
      <w:r w:rsidRPr="00357A86">
        <w:t>.</w:t>
      </w:r>
    </w:p>
    <w:p w14:paraId="5A88A451" w14:textId="77777777" w:rsidR="00357A86" w:rsidRPr="00357A86" w:rsidRDefault="00357A86" w:rsidP="00357A86">
      <w:pPr>
        <w:pStyle w:val="Titre2"/>
        <w:spacing w:before="0" w:after="0"/>
      </w:pPr>
      <w:r w:rsidRPr="00357A86">
        <w:t>B) Objectifs de la normalisation</w:t>
      </w:r>
    </w:p>
    <w:p w14:paraId="471492B0" w14:textId="77777777" w:rsidR="00357A86" w:rsidRPr="00357A86" w:rsidRDefault="00357A86" w:rsidP="00357A86">
      <w:pPr>
        <w:numPr>
          <w:ilvl w:val="0"/>
          <w:numId w:val="213"/>
        </w:numPr>
        <w:spacing w:after="0"/>
      </w:pPr>
      <w:r w:rsidRPr="00357A86">
        <w:t>Assurer l’</w:t>
      </w:r>
      <w:r w:rsidRPr="00357A86">
        <w:rPr>
          <w:b/>
          <w:bCs/>
        </w:rPr>
        <w:t>image fidèle</w:t>
      </w:r>
      <w:r w:rsidRPr="00357A86">
        <w:t>.</w:t>
      </w:r>
    </w:p>
    <w:p w14:paraId="7B4C4CEA" w14:textId="77777777" w:rsidR="00357A86" w:rsidRPr="00357A86" w:rsidRDefault="00357A86" w:rsidP="00357A86">
      <w:pPr>
        <w:numPr>
          <w:ilvl w:val="0"/>
          <w:numId w:val="213"/>
        </w:numPr>
        <w:spacing w:after="0"/>
      </w:pPr>
      <w:r w:rsidRPr="00357A86">
        <w:t xml:space="preserve">Renforcer la </w:t>
      </w:r>
      <w:r w:rsidRPr="00357A86">
        <w:rPr>
          <w:b/>
          <w:bCs/>
        </w:rPr>
        <w:t>comparabilité</w:t>
      </w:r>
      <w:r w:rsidRPr="00357A86">
        <w:t xml:space="preserve"> dans le temps et l’espace.</w:t>
      </w:r>
    </w:p>
    <w:p w14:paraId="392FAB30" w14:textId="77777777" w:rsidR="00357A86" w:rsidRPr="00357A86" w:rsidRDefault="00357A86" w:rsidP="00357A86">
      <w:pPr>
        <w:numPr>
          <w:ilvl w:val="0"/>
          <w:numId w:val="213"/>
        </w:numPr>
        <w:spacing w:after="0"/>
      </w:pPr>
      <w:r w:rsidRPr="00357A86">
        <w:t xml:space="preserve">Favoriser la </w:t>
      </w:r>
      <w:r w:rsidRPr="00357A86">
        <w:rPr>
          <w:b/>
          <w:bCs/>
        </w:rPr>
        <w:t>transparence</w:t>
      </w:r>
      <w:r w:rsidRPr="00357A86">
        <w:t xml:space="preserve"> et la </w:t>
      </w:r>
      <w:r w:rsidRPr="00357A86">
        <w:rPr>
          <w:b/>
          <w:bCs/>
        </w:rPr>
        <w:t>lisibilité</w:t>
      </w:r>
      <w:r w:rsidRPr="00357A86">
        <w:t xml:space="preserve"> des comptes.</w:t>
      </w:r>
    </w:p>
    <w:p w14:paraId="74C725C7" w14:textId="77777777" w:rsidR="00357A86" w:rsidRPr="00357A86" w:rsidRDefault="00357A86" w:rsidP="00357A86">
      <w:pPr>
        <w:numPr>
          <w:ilvl w:val="0"/>
          <w:numId w:val="213"/>
        </w:numPr>
        <w:spacing w:after="0"/>
      </w:pPr>
      <w:r w:rsidRPr="00357A86">
        <w:t xml:space="preserve">Permettre la </w:t>
      </w:r>
      <w:r w:rsidRPr="00357A86">
        <w:rPr>
          <w:b/>
          <w:bCs/>
        </w:rPr>
        <w:t>consolidation</w:t>
      </w:r>
      <w:r w:rsidRPr="00357A86">
        <w:t xml:space="preserve"> et le </w:t>
      </w:r>
      <w:r w:rsidRPr="00357A86">
        <w:rPr>
          <w:b/>
          <w:bCs/>
        </w:rPr>
        <w:t>contrôle</w:t>
      </w:r>
      <w:r w:rsidRPr="00357A86">
        <w:t>.</w:t>
      </w:r>
    </w:p>
    <w:p w14:paraId="25E35855" w14:textId="77777777" w:rsidR="00357A86" w:rsidRPr="00357A86" w:rsidRDefault="00357A86" w:rsidP="00357A86">
      <w:pPr>
        <w:pStyle w:val="Titre2"/>
        <w:spacing w:before="0" w:after="0"/>
      </w:pPr>
      <w:r w:rsidRPr="00357A86">
        <w:t>C) Normalisation en comptabilité privée</w:t>
      </w:r>
    </w:p>
    <w:p w14:paraId="1DC07A91" w14:textId="77777777" w:rsidR="00357A86" w:rsidRPr="00357A86" w:rsidRDefault="00357A86" w:rsidP="00357A86">
      <w:pPr>
        <w:numPr>
          <w:ilvl w:val="0"/>
          <w:numId w:val="214"/>
        </w:numPr>
        <w:spacing w:after="0"/>
        <w:rPr>
          <w:lang w:val="en-GB"/>
        </w:rPr>
      </w:pPr>
      <w:proofErr w:type="gramStart"/>
      <w:r w:rsidRPr="00357A86">
        <w:rPr>
          <w:b/>
          <w:bCs/>
          <w:lang w:val="en-GB"/>
        </w:rPr>
        <w:t>International</w:t>
      </w:r>
      <w:r w:rsidRPr="00357A86">
        <w:rPr>
          <w:lang w:val="en-GB"/>
        </w:rPr>
        <w:t xml:space="preserve"> :</w:t>
      </w:r>
      <w:proofErr w:type="gramEnd"/>
      <w:r w:rsidRPr="00357A86">
        <w:rPr>
          <w:lang w:val="en-GB"/>
        </w:rPr>
        <w:t xml:space="preserve"> FASB (US GAAP), IASB (IFRS).</w:t>
      </w:r>
    </w:p>
    <w:p w14:paraId="7C2ABD4D" w14:textId="77777777" w:rsidR="00357A86" w:rsidRPr="00357A86" w:rsidRDefault="00357A86" w:rsidP="00357A86">
      <w:pPr>
        <w:numPr>
          <w:ilvl w:val="0"/>
          <w:numId w:val="214"/>
        </w:numPr>
        <w:spacing w:after="0"/>
      </w:pPr>
      <w:r w:rsidRPr="00357A86">
        <w:rPr>
          <w:b/>
          <w:bCs/>
        </w:rPr>
        <w:t>Union européenne</w:t>
      </w:r>
      <w:r w:rsidRPr="00357A86">
        <w:t xml:space="preserve"> : Commission européenne, directives (notamment 2013/34 transposée en 2016), adoption des IFRS pour consolidés cotés (depuis 2005).</w:t>
      </w:r>
    </w:p>
    <w:p w14:paraId="0EAD2EC2" w14:textId="77777777" w:rsidR="00357A86" w:rsidRPr="00357A86" w:rsidRDefault="00357A86" w:rsidP="00357A86">
      <w:pPr>
        <w:numPr>
          <w:ilvl w:val="0"/>
          <w:numId w:val="214"/>
        </w:numPr>
        <w:spacing w:after="0"/>
      </w:pPr>
      <w:r w:rsidRPr="00357A86">
        <w:rPr>
          <w:b/>
          <w:bCs/>
        </w:rPr>
        <w:t>France</w:t>
      </w:r>
      <w:r w:rsidRPr="00357A86">
        <w:t xml:space="preserve"> : ANC (Autorité des Normes Comptables, 2009), règlements homologués.</w:t>
      </w:r>
    </w:p>
    <w:p w14:paraId="24E77EA7" w14:textId="77777777" w:rsidR="00357A86" w:rsidRPr="00357A86" w:rsidRDefault="00357A86" w:rsidP="00357A86">
      <w:pPr>
        <w:numPr>
          <w:ilvl w:val="1"/>
          <w:numId w:val="214"/>
        </w:numPr>
        <w:spacing w:after="0"/>
      </w:pPr>
      <w:r w:rsidRPr="00357A86">
        <w:t xml:space="preserve">ANC 2022-06 </w:t>
      </w:r>
      <w:r w:rsidRPr="00357A86">
        <w:rPr>
          <w:rFonts w:ascii="Arial" w:hAnsi="Arial" w:cs="Arial"/>
        </w:rPr>
        <w:t>→</w:t>
      </w:r>
      <w:r w:rsidRPr="00357A86">
        <w:t xml:space="preserve"> r</w:t>
      </w:r>
      <w:r w:rsidRPr="00357A86">
        <w:rPr>
          <w:rFonts w:cs="Verdana"/>
        </w:rPr>
        <w:t>é</w:t>
      </w:r>
      <w:r w:rsidRPr="00357A86">
        <w:t>forme PCG (r</w:t>
      </w:r>
      <w:r w:rsidRPr="00357A86">
        <w:rPr>
          <w:rFonts w:cs="Verdana"/>
        </w:rPr>
        <w:t>é</w:t>
      </w:r>
      <w:r w:rsidRPr="00357A86">
        <w:t>sultat exceptionnel, suppression des transferts de charges).</w:t>
      </w:r>
    </w:p>
    <w:p w14:paraId="5FF28CA8" w14:textId="77777777" w:rsidR="00357A86" w:rsidRPr="00357A86" w:rsidRDefault="00357A86" w:rsidP="00357A86">
      <w:pPr>
        <w:numPr>
          <w:ilvl w:val="1"/>
          <w:numId w:val="214"/>
        </w:numPr>
        <w:spacing w:after="0"/>
      </w:pPr>
      <w:r w:rsidRPr="00357A86">
        <w:t xml:space="preserve">Entrée en vigueur obligatoire : </w:t>
      </w:r>
      <w:r w:rsidRPr="00357A86">
        <w:rPr>
          <w:b/>
          <w:bCs/>
        </w:rPr>
        <w:t>PCG 2025</w:t>
      </w:r>
      <w:r w:rsidRPr="00357A86">
        <w:t>.</w:t>
      </w:r>
    </w:p>
    <w:p w14:paraId="78608EAA" w14:textId="77777777" w:rsidR="00357A86" w:rsidRPr="00357A86" w:rsidRDefault="00357A86" w:rsidP="00357A86">
      <w:pPr>
        <w:pStyle w:val="Titre2"/>
        <w:spacing w:before="0" w:after="0"/>
      </w:pPr>
      <w:r w:rsidRPr="00357A86">
        <w:t>D) Normalisation en comptabilité publique</w:t>
      </w:r>
    </w:p>
    <w:p w14:paraId="2B4DF630" w14:textId="77777777" w:rsidR="00357A86" w:rsidRPr="00357A86" w:rsidRDefault="00357A86" w:rsidP="00357A86">
      <w:pPr>
        <w:numPr>
          <w:ilvl w:val="0"/>
          <w:numId w:val="215"/>
        </w:numPr>
        <w:spacing w:after="0"/>
      </w:pPr>
      <w:r w:rsidRPr="00357A86">
        <w:rPr>
          <w:b/>
          <w:bCs/>
        </w:rPr>
        <w:t>Cadre juridique :</w:t>
      </w:r>
    </w:p>
    <w:p w14:paraId="68EA4E9A" w14:textId="77777777" w:rsidR="00357A86" w:rsidRPr="00357A86" w:rsidRDefault="00357A86" w:rsidP="00357A86">
      <w:pPr>
        <w:numPr>
          <w:ilvl w:val="1"/>
          <w:numId w:val="215"/>
        </w:numPr>
        <w:spacing w:after="0"/>
      </w:pPr>
      <w:r w:rsidRPr="00357A86">
        <w:t>Code général de la propriété des personnes publiques (CGPPP).</w:t>
      </w:r>
    </w:p>
    <w:p w14:paraId="7FD64880" w14:textId="77777777" w:rsidR="00357A86" w:rsidRPr="00357A86" w:rsidRDefault="00357A86" w:rsidP="00357A86">
      <w:pPr>
        <w:numPr>
          <w:ilvl w:val="1"/>
          <w:numId w:val="215"/>
        </w:numPr>
        <w:spacing w:after="0"/>
      </w:pPr>
      <w:r w:rsidRPr="00357A86">
        <w:t>Code général des collectivités territoriales (CGCT).</w:t>
      </w:r>
    </w:p>
    <w:p w14:paraId="5AA85F8B" w14:textId="77777777" w:rsidR="00357A86" w:rsidRPr="00357A86" w:rsidRDefault="00357A86" w:rsidP="00357A86">
      <w:pPr>
        <w:numPr>
          <w:ilvl w:val="0"/>
          <w:numId w:val="215"/>
        </w:numPr>
        <w:spacing w:after="0"/>
      </w:pPr>
      <w:r w:rsidRPr="00357A86">
        <w:rPr>
          <w:b/>
          <w:bCs/>
        </w:rPr>
        <w:t>Référentiel unique : M57</w:t>
      </w:r>
    </w:p>
    <w:p w14:paraId="086639E1" w14:textId="77777777" w:rsidR="00357A86" w:rsidRPr="00357A86" w:rsidRDefault="00357A86" w:rsidP="00357A86">
      <w:pPr>
        <w:numPr>
          <w:ilvl w:val="1"/>
          <w:numId w:val="215"/>
        </w:numPr>
        <w:spacing w:after="0"/>
      </w:pPr>
      <w:r w:rsidRPr="00357A86">
        <w:t xml:space="preserve">Généralisation au </w:t>
      </w:r>
      <w:r w:rsidRPr="00357A86">
        <w:rPr>
          <w:b/>
          <w:bCs/>
        </w:rPr>
        <w:t>1er janvier 2024</w:t>
      </w:r>
      <w:r w:rsidRPr="00357A86">
        <w:t xml:space="preserve"> : toutes les collectivités territoriales et leurs établissements publics appliquent désormais le </w:t>
      </w:r>
      <w:r w:rsidRPr="00357A86">
        <w:rPr>
          <w:b/>
          <w:bCs/>
        </w:rPr>
        <w:t>M57</w:t>
      </w:r>
      <w:r w:rsidRPr="00357A86">
        <w:t>.</w:t>
      </w:r>
    </w:p>
    <w:p w14:paraId="54C7332C" w14:textId="77777777" w:rsidR="00357A86" w:rsidRPr="00357A86" w:rsidRDefault="00357A86" w:rsidP="00357A86">
      <w:pPr>
        <w:numPr>
          <w:ilvl w:val="1"/>
          <w:numId w:val="215"/>
        </w:numPr>
        <w:spacing w:after="0"/>
      </w:pPr>
      <w:r w:rsidRPr="00357A86">
        <w:t>Il a remplacé progressivement les anciens référentiels (M14, M52, M61, M71, M832…).</w:t>
      </w:r>
    </w:p>
    <w:p w14:paraId="7902EEEE" w14:textId="77777777" w:rsidR="00357A86" w:rsidRPr="00357A86" w:rsidRDefault="00357A86" w:rsidP="00357A86">
      <w:pPr>
        <w:numPr>
          <w:ilvl w:val="0"/>
          <w:numId w:val="215"/>
        </w:numPr>
        <w:spacing w:after="0"/>
      </w:pPr>
      <w:r w:rsidRPr="00357A86">
        <w:rPr>
          <w:b/>
          <w:bCs/>
        </w:rPr>
        <w:t>Objectifs :</w:t>
      </w:r>
      <w:r w:rsidRPr="00357A86">
        <w:t xml:space="preserve"> transparence budgétaire, comparabilité, contrôle par la Cour des comptes et les chambres régionales des comptes.</w:t>
      </w:r>
    </w:p>
    <w:p w14:paraId="72FC181F" w14:textId="77777777" w:rsidR="00357A86" w:rsidRPr="00357A86" w:rsidRDefault="00357A86" w:rsidP="00357A86">
      <w:pPr>
        <w:pStyle w:val="Titre2"/>
        <w:spacing w:before="0" w:after="0"/>
      </w:pPr>
      <w:r w:rsidRPr="00357A86">
        <w:t>E) Normalisation spécifique des ESMS (Établissements et services sociaux et médico-sociaux)</w:t>
      </w:r>
    </w:p>
    <w:p w14:paraId="4C3654B3" w14:textId="77777777" w:rsidR="00357A86" w:rsidRPr="00357A86" w:rsidRDefault="00357A86" w:rsidP="00357A86">
      <w:pPr>
        <w:numPr>
          <w:ilvl w:val="0"/>
          <w:numId w:val="216"/>
        </w:numPr>
        <w:spacing w:after="0"/>
      </w:pPr>
      <w:r w:rsidRPr="00357A86">
        <w:rPr>
          <w:b/>
          <w:bCs/>
        </w:rPr>
        <w:t>Cadre juridique :</w:t>
      </w:r>
      <w:r w:rsidRPr="00357A86">
        <w:t xml:space="preserve"> Code de l’action sociale et des familles (</w:t>
      </w:r>
      <w:r w:rsidRPr="00357A86">
        <w:rPr>
          <w:b/>
          <w:bCs/>
        </w:rPr>
        <w:t>CASF</w:t>
      </w:r>
      <w:r w:rsidRPr="00357A86">
        <w:t>), notamment annexes 3-9 et 3-10.</w:t>
      </w:r>
    </w:p>
    <w:p w14:paraId="5B5C2A92" w14:textId="77777777" w:rsidR="00357A86" w:rsidRPr="00357A86" w:rsidRDefault="00357A86" w:rsidP="00357A86">
      <w:pPr>
        <w:numPr>
          <w:ilvl w:val="0"/>
          <w:numId w:val="216"/>
        </w:numPr>
        <w:spacing w:after="0"/>
      </w:pPr>
      <w:r w:rsidRPr="00357A86">
        <w:rPr>
          <w:b/>
          <w:bCs/>
        </w:rPr>
        <w:t>Référentiel comptable :</w:t>
      </w:r>
    </w:p>
    <w:p w14:paraId="79DA112E" w14:textId="77777777" w:rsidR="00357A86" w:rsidRPr="00357A86" w:rsidRDefault="00357A86" w:rsidP="00357A86">
      <w:pPr>
        <w:numPr>
          <w:ilvl w:val="1"/>
          <w:numId w:val="216"/>
        </w:numPr>
        <w:spacing w:after="0"/>
      </w:pPr>
      <w:r w:rsidRPr="00357A86">
        <w:t>Plan comptable spécifique ESMS, inspiré du PCG mais adapté aux structures sociales et médico-sociales.</w:t>
      </w:r>
    </w:p>
    <w:p w14:paraId="3DD2125D" w14:textId="77777777" w:rsidR="00357A86" w:rsidRPr="00357A86" w:rsidRDefault="00357A86" w:rsidP="00357A86">
      <w:pPr>
        <w:numPr>
          <w:ilvl w:val="1"/>
          <w:numId w:val="216"/>
        </w:numPr>
        <w:spacing w:after="0"/>
      </w:pPr>
      <w:r w:rsidRPr="00357A86">
        <w:t xml:space="preserve">Les associations gestionnaires doivent articuler le </w:t>
      </w:r>
      <w:r w:rsidRPr="00357A86">
        <w:rPr>
          <w:b/>
          <w:bCs/>
        </w:rPr>
        <w:t>PCG</w:t>
      </w:r>
      <w:r w:rsidRPr="00357A86">
        <w:t xml:space="preserve"> et le </w:t>
      </w:r>
      <w:r w:rsidRPr="00357A86">
        <w:rPr>
          <w:b/>
          <w:bCs/>
        </w:rPr>
        <w:t>CASF</w:t>
      </w:r>
      <w:r w:rsidRPr="00357A86">
        <w:t>.</w:t>
      </w:r>
    </w:p>
    <w:p w14:paraId="3F174EFB" w14:textId="77777777" w:rsidR="00357A86" w:rsidRPr="00357A86" w:rsidRDefault="00357A86" w:rsidP="00357A86">
      <w:pPr>
        <w:numPr>
          <w:ilvl w:val="0"/>
          <w:numId w:val="216"/>
        </w:numPr>
        <w:spacing w:after="0"/>
      </w:pPr>
      <w:r w:rsidRPr="00357A86">
        <w:rPr>
          <w:b/>
          <w:bCs/>
        </w:rPr>
        <w:t>Objectifs :</w:t>
      </w:r>
    </w:p>
    <w:p w14:paraId="7C3DBAD0" w14:textId="77777777" w:rsidR="00357A86" w:rsidRPr="00357A86" w:rsidRDefault="00357A86" w:rsidP="00357A86">
      <w:pPr>
        <w:numPr>
          <w:ilvl w:val="1"/>
          <w:numId w:val="216"/>
        </w:numPr>
        <w:spacing w:after="0"/>
      </w:pPr>
      <w:r w:rsidRPr="00357A86">
        <w:t>Traçabilité des financements publics (État, ARS, départements).</w:t>
      </w:r>
    </w:p>
    <w:p w14:paraId="6734B047" w14:textId="77777777" w:rsidR="00357A86" w:rsidRPr="00357A86" w:rsidRDefault="00357A86" w:rsidP="00357A86">
      <w:pPr>
        <w:numPr>
          <w:ilvl w:val="1"/>
          <w:numId w:val="216"/>
        </w:numPr>
        <w:spacing w:after="0"/>
      </w:pPr>
      <w:r w:rsidRPr="00357A86">
        <w:t>Suivi par section d’activité (hébergement, soins, dépendance).</w:t>
      </w:r>
    </w:p>
    <w:p w14:paraId="6B5B713A" w14:textId="77777777" w:rsidR="00357A86" w:rsidRPr="00357A86" w:rsidRDefault="00357A86" w:rsidP="00357A86">
      <w:pPr>
        <w:numPr>
          <w:ilvl w:val="1"/>
          <w:numId w:val="216"/>
        </w:numPr>
        <w:spacing w:after="0"/>
      </w:pPr>
      <w:r w:rsidRPr="00357A86">
        <w:t>Transparence vis-à-vis des autorités de tarification.</w:t>
      </w:r>
    </w:p>
    <w:p w14:paraId="43A015F9" w14:textId="77777777" w:rsidR="00357A86" w:rsidRPr="00357A86" w:rsidRDefault="00357A86" w:rsidP="00357A86">
      <w:pPr>
        <w:pStyle w:val="Titre2"/>
        <w:spacing w:before="0" w:after="0"/>
      </w:pPr>
      <w:r w:rsidRPr="00357A86">
        <w:t>F) Normes professionnelles et supervision</w:t>
      </w:r>
    </w:p>
    <w:p w14:paraId="6F77B93C" w14:textId="77777777" w:rsidR="00357A86" w:rsidRPr="00357A86" w:rsidRDefault="00357A86" w:rsidP="00357A86">
      <w:pPr>
        <w:numPr>
          <w:ilvl w:val="0"/>
          <w:numId w:val="217"/>
        </w:numPr>
        <w:spacing w:after="0"/>
      </w:pPr>
      <w:r w:rsidRPr="00357A86">
        <w:t xml:space="preserve">Directive 2006 sur le contrôle légal </w:t>
      </w:r>
      <w:r w:rsidRPr="00357A86">
        <w:rPr>
          <w:rFonts w:ascii="Arial" w:hAnsi="Arial" w:cs="Arial"/>
        </w:rPr>
        <w:t>→</w:t>
      </w:r>
      <w:r w:rsidRPr="00357A86">
        <w:t xml:space="preserve"> modifi</w:t>
      </w:r>
      <w:r w:rsidRPr="00357A86">
        <w:rPr>
          <w:rFonts w:cs="Verdana"/>
        </w:rPr>
        <w:t>é</w:t>
      </w:r>
      <w:r w:rsidRPr="00357A86">
        <w:t>e en 2014.</w:t>
      </w:r>
    </w:p>
    <w:p w14:paraId="5F0A3372" w14:textId="77777777" w:rsidR="00357A86" w:rsidRPr="00357A86" w:rsidRDefault="00357A86" w:rsidP="00357A86">
      <w:pPr>
        <w:numPr>
          <w:ilvl w:val="0"/>
          <w:numId w:val="217"/>
        </w:numPr>
        <w:spacing w:after="0"/>
      </w:pPr>
      <w:r w:rsidRPr="00357A86">
        <w:t xml:space="preserve">Depuis le 1er janvier 2024, la </w:t>
      </w:r>
      <w:r w:rsidRPr="00357A86">
        <w:rPr>
          <w:b/>
          <w:bCs/>
        </w:rPr>
        <w:t>H2A (Haute Autorité de l’Audit)</w:t>
      </w:r>
      <w:r w:rsidRPr="00357A86">
        <w:t xml:space="preserve"> supervise :</w:t>
      </w:r>
    </w:p>
    <w:p w14:paraId="256497F9" w14:textId="77777777" w:rsidR="00357A86" w:rsidRPr="00357A86" w:rsidRDefault="00357A86" w:rsidP="00357A86">
      <w:pPr>
        <w:numPr>
          <w:ilvl w:val="1"/>
          <w:numId w:val="217"/>
        </w:numPr>
        <w:spacing w:after="0"/>
      </w:pPr>
      <w:r w:rsidRPr="00357A86">
        <w:t>Les commissaires aux comptes,</w:t>
      </w:r>
    </w:p>
    <w:p w14:paraId="1F26F317" w14:textId="77777777" w:rsidR="00357A86" w:rsidRPr="00357A86" w:rsidRDefault="00357A86" w:rsidP="00357A86">
      <w:pPr>
        <w:numPr>
          <w:ilvl w:val="1"/>
          <w:numId w:val="217"/>
        </w:numPr>
        <w:spacing w:after="0"/>
      </w:pPr>
      <w:r w:rsidRPr="00357A86">
        <w:t>La certification des informations de durabilité (directive CSRD).</w:t>
      </w:r>
    </w:p>
    <w:p w14:paraId="5D3E4E1D" w14:textId="77777777" w:rsidR="00357A86" w:rsidRPr="00357A86" w:rsidRDefault="00357A86" w:rsidP="00357A86">
      <w:pPr>
        <w:pStyle w:val="Titre2"/>
        <w:spacing w:before="0" w:after="0"/>
      </w:pPr>
      <w:r w:rsidRPr="00357A86">
        <w:t>G) Points d’attention</w:t>
      </w:r>
    </w:p>
    <w:p w14:paraId="3A4794D0" w14:textId="77777777" w:rsidR="00357A86" w:rsidRPr="00357A86" w:rsidRDefault="00357A86" w:rsidP="00357A86">
      <w:pPr>
        <w:numPr>
          <w:ilvl w:val="0"/>
          <w:numId w:val="218"/>
        </w:numPr>
        <w:spacing w:after="0"/>
      </w:pPr>
      <w:r w:rsidRPr="00357A86">
        <w:t xml:space="preserve">La normalisation comptable est </w:t>
      </w:r>
      <w:r w:rsidRPr="00357A86">
        <w:rPr>
          <w:b/>
          <w:bCs/>
        </w:rPr>
        <w:t>multi-niveaux</w:t>
      </w:r>
      <w:r w:rsidRPr="00357A86">
        <w:t xml:space="preserve"> : international, européen, national, public, sectoriel.</w:t>
      </w:r>
    </w:p>
    <w:p w14:paraId="6724C714" w14:textId="77777777" w:rsidR="00357A86" w:rsidRPr="00357A86" w:rsidRDefault="00357A86" w:rsidP="00357A86">
      <w:pPr>
        <w:numPr>
          <w:ilvl w:val="0"/>
          <w:numId w:val="218"/>
        </w:numPr>
        <w:spacing w:after="0"/>
      </w:pPr>
      <w:r w:rsidRPr="00357A86">
        <w:rPr>
          <w:b/>
          <w:bCs/>
        </w:rPr>
        <w:t>Privé :</w:t>
      </w:r>
      <w:r w:rsidRPr="00357A86">
        <w:t xml:space="preserve"> PCG 2025 (ANC).</w:t>
      </w:r>
    </w:p>
    <w:p w14:paraId="08F62A1A" w14:textId="77777777" w:rsidR="00357A86" w:rsidRPr="00357A86" w:rsidRDefault="00357A86" w:rsidP="00357A86">
      <w:pPr>
        <w:numPr>
          <w:ilvl w:val="0"/>
          <w:numId w:val="218"/>
        </w:numPr>
        <w:spacing w:after="0"/>
      </w:pPr>
      <w:r w:rsidRPr="00357A86">
        <w:rPr>
          <w:b/>
          <w:bCs/>
        </w:rPr>
        <w:t>Public :</w:t>
      </w:r>
      <w:r w:rsidRPr="00357A86">
        <w:t xml:space="preserve"> généralisation du </w:t>
      </w:r>
      <w:r w:rsidRPr="00357A86">
        <w:rPr>
          <w:b/>
          <w:bCs/>
        </w:rPr>
        <w:t>M57</w:t>
      </w:r>
      <w:r w:rsidRPr="00357A86">
        <w:t xml:space="preserve"> en 2024 (instruction unique).</w:t>
      </w:r>
    </w:p>
    <w:p w14:paraId="66B9E722" w14:textId="77777777" w:rsidR="00357A86" w:rsidRPr="00357A86" w:rsidRDefault="00357A86" w:rsidP="00357A86">
      <w:pPr>
        <w:numPr>
          <w:ilvl w:val="0"/>
          <w:numId w:val="218"/>
        </w:numPr>
        <w:spacing w:after="0"/>
      </w:pPr>
      <w:r w:rsidRPr="00357A86">
        <w:rPr>
          <w:b/>
          <w:bCs/>
        </w:rPr>
        <w:t>ESMS :</w:t>
      </w:r>
      <w:r w:rsidRPr="00357A86">
        <w:t xml:space="preserve"> cadre spécifique du </w:t>
      </w:r>
      <w:r w:rsidRPr="00357A86">
        <w:rPr>
          <w:b/>
          <w:bCs/>
        </w:rPr>
        <w:t>CASF</w:t>
      </w:r>
      <w:r w:rsidRPr="00357A86">
        <w:t xml:space="preserve"> + plan comptable adapté.</w:t>
      </w:r>
    </w:p>
    <w:p w14:paraId="254895D2" w14:textId="2228D559" w:rsidR="009A110D" w:rsidRPr="009A110D" w:rsidRDefault="00357A86" w:rsidP="00357A86">
      <w:pPr>
        <w:numPr>
          <w:ilvl w:val="0"/>
          <w:numId w:val="218"/>
        </w:numPr>
        <w:spacing w:after="0"/>
      </w:pPr>
      <w:r w:rsidRPr="00357A86">
        <w:t>La H2A (depuis 2024) remplace le H3C pour la supervision de l’audit.</w:t>
      </w:r>
    </w:p>
    <w:sectPr w:rsidR="009A110D" w:rsidRPr="009A110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C47EF" w14:textId="77777777" w:rsidR="00141194" w:rsidRDefault="00141194" w:rsidP="00F717A1">
      <w:r>
        <w:separator/>
      </w:r>
    </w:p>
  </w:endnote>
  <w:endnote w:type="continuationSeparator" w:id="0">
    <w:p w14:paraId="18B234FC" w14:textId="77777777" w:rsidR="00141194" w:rsidRDefault="00141194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0798" w14:textId="77777777" w:rsidR="00141194" w:rsidRDefault="00141194" w:rsidP="00F717A1">
      <w:r>
        <w:separator/>
      </w:r>
    </w:p>
  </w:footnote>
  <w:footnote w:type="continuationSeparator" w:id="0">
    <w:p w14:paraId="504CE493" w14:textId="77777777" w:rsidR="00141194" w:rsidRDefault="00141194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86"/>
  </w:num>
  <w:num w:numId="2" w16cid:durableId="1969772821">
    <w:abstractNumId w:val="62"/>
  </w:num>
  <w:num w:numId="3" w16cid:durableId="993755049">
    <w:abstractNumId w:val="134"/>
  </w:num>
  <w:num w:numId="4" w16cid:durableId="586116025">
    <w:abstractNumId w:val="187"/>
  </w:num>
  <w:num w:numId="5" w16cid:durableId="1702245743">
    <w:abstractNumId w:val="195"/>
  </w:num>
  <w:num w:numId="6" w16cid:durableId="1128276001">
    <w:abstractNumId w:val="101"/>
  </w:num>
  <w:num w:numId="7" w16cid:durableId="299381959">
    <w:abstractNumId w:val="119"/>
  </w:num>
  <w:num w:numId="8" w16cid:durableId="743184661">
    <w:abstractNumId w:val="194"/>
  </w:num>
  <w:num w:numId="9" w16cid:durableId="1202087570">
    <w:abstractNumId w:val="208"/>
  </w:num>
  <w:num w:numId="10" w16cid:durableId="1028410972">
    <w:abstractNumId w:val="102"/>
  </w:num>
  <w:num w:numId="11" w16cid:durableId="210462333">
    <w:abstractNumId w:val="73"/>
  </w:num>
  <w:num w:numId="12" w16cid:durableId="2095080098">
    <w:abstractNumId w:val="64"/>
  </w:num>
  <w:num w:numId="13" w16cid:durableId="1395931051">
    <w:abstractNumId w:val="45"/>
  </w:num>
  <w:num w:numId="14" w16cid:durableId="1108617728">
    <w:abstractNumId w:val="133"/>
  </w:num>
  <w:num w:numId="15" w16cid:durableId="951476451">
    <w:abstractNumId w:val="57"/>
  </w:num>
  <w:num w:numId="16" w16cid:durableId="1267739148">
    <w:abstractNumId w:val="86"/>
  </w:num>
  <w:num w:numId="17" w16cid:durableId="1181970123">
    <w:abstractNumId w:val="109"/>
  </w:num>
  <w:num w:numId="18" w16cid:durableId="451361762">
    <w:abstractNumId w:val="106"/>
  </w:num>
  <w:num w:numId="19" w16cid:durableId="1719695523">
    <w:abstractNumId w:val="165"/>
  </w:num>
  <w:num w:numId="20" w16cid:durableId="1708723590">
    <w:abstractNumId w:val="183"/>
  </w:num>
  <w:num w:numId="21" w16cid:durableId="362706822">
    <w:abstractNumId w:val="9"/>
  </w:num>
  <w:num w:numId="22" w16cid:durableId="429470193">
    <w:abstractNumId w:val="213"/>
  </w:num>
  <w:num w:numId="23" w16cid:durableId="1301614841">
    <w:abstractNumId w:val="66"/>
  </w:num>
  <w:num w:numId="24" w16cid:durableId="555823789">
    <w:abstractNumId w:val="125"/>
  </w:num>
  <w:num w:numId="25" w16cid:durableId="1808740245">
    <w:abstractNumId w:val="171"/>
  </w:num>
  <w:num w:numId="26" w16cid:durableId="905334348">
    <w:abstractNumId w:val="127"/>
  </w:num>
  <w:num w:numId="27" w16cid:durableId="1762139636">
    <w:abstractNumId w:val="212"/>
  </w:num>
  <w:num w:numId="28" w16cid:durableId="623661194">
    <w:abstractNumId w:val="152"/>
  </w:num>
  <w:num w:numId="29" w16cid:durableId="1080519049">
    <w:abstractNumId w:val="199"/>
  </w:num>
  <w:num w:numId="30" w16cid:durableId="1764302913">
    <w:abstractNumId w:val="0"/>
  </w:num>
  <w:num w:numId="31" w16cid:durableId="265162533">
    <w:abstractNumId w:val="74"/>
  </w:num>
  <w:num w:numId="32" w16cid:durableId="1980257717">
    <w:abstractNumId w:val="1"/>
  </w:num>
  <w:num w:numId="33" w16cid:durableId="176776402">
    <w:abstractNumId w:val="205"/>
  </w:num>
  <w:num w:numId="34" w16cid:durableId="1466654264">
    <w:abstractNumId w:val="32"/>
  </w:num>
  <w:num w:numId="35" w16cid:durableId="1989239436">
    <w:abstractNumId w:val="112"/>
  </w:num>
  <w:num w:numId="36" w16cid:durableId="848104552">
    <w:abstractNumId w:val="79"/>
  </w:num>
  <w:num w:numId="37" w16cid:durableId="1857960856">
    <w:abstractNumId w:val="24"/>
  </w:num>
  <w:num w:numId="38" w16cid:durableId="435444936">
    <w:abstractNumId w:val="211"/>
  </w:num>
  <w:num w:numId="39" w16cid:durableId="1903324043">
    <w:abstractNumId w:val="43"/>
  </w:num>
  <w:num w:numId="40" w16cid:durableId="246352112">
    <w:abstractNumId w:val="19"/>
  </w:num>
  <w:num w:numId="41" w16cid:durableId="1024359036">
    <w:abstractNumId w:val="72"/>
  </w:num>
  <w:num w:numId="42" w16cid:durableId="1298218601">
    <w:abstractNumId w:val="107"/>
  </w:num>
  <w:num w:numId="43" w16cid:durableId="234169730">
    <w:abstractNumId w:val="16"/>
  </w:num>
  <w:num w:numId="44" w16cid:durableId="693383009">
    <w:abstractNumId w:val="59"/>
  </w:num>
  <w:num w:numId="45" w16cid:durableId="1686591168">
    <w:abstractNumId w:val="145"/>
  </w:num>
  <w:num w:numId="46" w16cid:durableId="1924727275">
    <w:abstractNumId w:val="137"/>
  </w:num>
  <w:num w:numId="47" w16cid:durableId="218908341">
    <w:abstractNumId w:val="131"/>
  </w:num>
  <w:num w:numId="48" w16cid:durableId="1416515728">
    <w:abstractNumId w:val="147"/>
  </w:num>
  <w:num w:numId="49" w16cid:durableId="1126894720">
    <w:abstractNumId w:val="204"/>
  </w:num>
  <w:num w:numId="50" w16cid:durableId="121045156">
    <w:abstractNumId w:val="121"/>
  </w:num>
  <w:num w:numId="51" w16cid:durableId="1561289923">
    <w:abstractNumId w:val="113"/>
  </w:num>
  <w:num w:numId="52" w16cid:durableId="1769306741">
    <w:abstractNumId w:val="157"/>
  </w:num>
  <w:num w:numId="53" w16cid:durableId="76485141">
    <w:abstractNumId w:val="40"/>
  </w:num>
  <w:num w:numId="54" w16cid:durableId="769201495">
    <w:abstractNumId w:val="139"/>
  </w:num>
  <w:num w:numId="55" w16cid:durableId="1315833412">
    <w:abstractNumId w:val="136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50"/>
  </w:num>
  <w:num w:numId="59" w16cid:durableId="706102380">
    <w:abstractNumId w:val="198"/>
  </w:num>
  <w:num w:numId="60" w16cid:durableId="762652933">
    <w:abstractNumId w:val="46"/>
  </w:num>
  <w:num w:numId="61" w16cid:durableId="1980070124">
    <w:abstractNumId w:val="188"/>
  </w:num>
  <w:num w:numId="62" w16cid:durableId="1751384401">
    <w:abstractNumId w:val="162"/>
  </w:num>
  <w:num w:numId="63" w16cid:durableId="888758772">
    <w:abstractNumId w:val="61"/>
  </w:num>
  <w:num w:numId="64" w16cid:durableId="1428504556">
    <w:abstractNumId w:val="12"/>
  </w:num>
  <w:num w:numId="65" w16cid:durableId="1368019865">
    <w:abstractNumId w:val="215"/>
  </w:num>
  <w:num w:numId="66" w16cid:durableId="1997103089">
    <w:abstractNumId w:val="184"/>
  </w:num>
  <w:num w:numId="67" w16cid:durableId="999576817">
    <w:abstractNumId w:val="206"/>
  </w:num>
  <w:num w:numId="68" w16cid:durableId="1120220483">
    <w:abstractNumId w:val="209"/>
  </w:num>
  <w:num w:numId="69" w16cid:durableId="1251962254">
    <w:abstractNumId w:val="8"/>
  </w:num>
  <w:num w:numId="70" w16cid:durableId="1279601433">
    <w:abstractNumId w:val="108"/>
  </w:num>
  <w:num w:numId="71" w16cid:durableId="1467965383">
    <w:abstractNumId w:val="36"/>
  </w:num>
  <w:num w:numId="72" w16cid:durableId="825433357">
    <w:abstractNumId w:val="30"/>
  </w:num>
  <w:num w:numId="73" w16cid:durableId="1998805076">
    <w:abstractNumId w:val="50"/>
  </w:num>
  <w:num w:numId="74" w16cid:durableId="709107061">
    <w:abstractNumId w:val="35"/>
  </w:num>
  <w:num w:numId="75" w16cid:durableId="1231696408">
    <w:abstractNumId w:val="144"/>
  </w:num>
  <w:num w:numId="76" w16cid:durableId="722605870">
    <w:abstractNumId w:val="93"/>
  </w:num>
  <w:num w:numId="77" w16cid:durableId="129324489">
    <w:abstractNumId w:val="179"/>
  </w:num>
  <w:num w:numId="78" w16cid:durableId="983044799">
    <w:abstractNumId w:val="135"/>
  </w:num>
  <w:num w:numId="79" w16cid:durableId="1135030876">
    <w:abstractNumId w:val="10"/>
  </w:num>
  <w:num w:numId="80" w16cid:durableId="193005106">
    <w:abstractNumId w:val="100"/>
  </w:num>
  <w:num w:numId="81" w16cid:durableId="1651210118">
    <w:abstractNumId w:val="181"/>
  </w:num>
  <w:num w:numId="82" w16cid:durableId="1644046001">
    <w:abstractNumId w:val="78"/>
  </w:num>
  <w:num w:numId="83" w16cid:durableId="1825584539">
    <w:abstractNumId w:val="5"/>
  </w:num>
  <w:num w:numId="84" w16cid:durableId="1457600251">
    <w:abstractNumId w:val="122"/>
  </w:num>
  <w:num w:numId="85" w16cid:durableId="796483808">
    <w:abstractNumId w:val="126"/>
  </w:num>
  <w:num w:numId="86" w16cid:durableId="677079084">
    <w:abstractNumId w:val="90"/>
  </w:num>
  <w:num w:numId="87" w16cid:durableId="1717895316">
    <w:abstractNumId w:val="97"/>
  </w:num>
  <w:num w:numId="88" w16cid:durableId="1381586366">
    <w:abstractNumId w:val="153"/>
  </w:num>
  <w:num w:numId="89" w16cid:durableId="726415045">
    <w:abstractNumId w:val="47"/>
  </w:num>
  <w:num w:numId="90" w16cid:durableId="134374695">
    <w:abstractNumId w:val="154"/>
  </w:num>
  <w:num w:numId="91" w16cid:durableId="1333605177">
    <w:abstractNumId w:val="169"/>
  </w:num>
  <w:num w:numId="92" w16cid:durableId="707990345">
    <w:abstractNumId w:val="91"/>
  </w:num>
  <w:num w:numId="93" w16cid:durableId="1424061098">
    <w:abstractNumId w:val="21"/>
  </w:num>
  <w:num w:numId="94" w16cid:durableId="1238593463">
    <w:abstractNumId w:val="105"/>
  </w:num>
  <w:num w:numId="95" w16cid:durableId="474218565">
    <w:abstractNumId w:val="37"/>
  </w:num>
  <w:num w:numId="96" w16cid:durableId="1305157866">
    <w:abstractNumId w:val="15"/>
  </w:num>
  <w:num w:numId="97" w16cid:durableId="503668382">
    <w:abstractNumId w:val="159"/>
  </w:num>
  <w:num w:numId="98" w16cid:durableId="141898825">
    <w:abstractNumId w:val="70"/>
  </w:num>
  <w:num w:numId="99" w16cid:durableId="322399246">
    <w:abstractNumId w:val="17"/>
  </w:num>
  <w:num w:numId="100" w16cid:durableId="1519343566">
    <w:abstractNumId w:val="27"/>
  </w:num>
  <w:num w:numId="101" w16cid:durableId="1724324996">
    <w:abstractNumId w:val="83"/>
  </w:num>
  <w:num w:numId="102" w16cid:durableId="1758553305">
    <w:abstractNumId w:val="84"/>
  </w:num>
  <w:num w:numId="103" w16cid:durableId="1085539426">
    <w:abstractNumId w:val="68"/>
  </w:num>
  <w:num w:numId="104" w16cid:durableId="1402362524">
    <w:abstractNumId w:val="176"/>
  </w:num>
  <w:num w:numId="105" w16cid:durableId="83691757">
    <w:abstractNumId w:val="156"/>
  </w:num>
  <w:num w:numId="106" w16cid:durableId="1198078696">
    <w:abstractNumId w:val="44"/>
  </w:num>
  <w:num w:numId="107" w16cid:durableId="1240169118">
    <w:abstractNumId w:val="26"/>
  </w:num>
  <w:num w:numId="108" w16cid:durableId="187839146">
    <w:abstractNumId w:val="85"/>
  </w:num>
  <w:num w:numId="109" w16cid:durableId="139004657">
    <w:abstractNumId w:val="172"/>
  </w:num>
  <w:num w:numId="110" w16cid:durableId="835002621">
    <w:abstractNumId w:val="189"/>
  </w:num>
  <w:num w:numId="111" w16cid:durableId="146362569">
    <w:abstractNumId w:val="95"/>
  </w:num>
  <w:num w:numId="112" w16cid:durableId="1851218359">
    <w:abstractNumId w:val="185"/>
  </w:num>
  <w:num w:numId="113" w16cid:durableId="1189637771">
    <w:abstractNumId w:val="6"/>
  </w:num>
  <w:num w:numId="114" w16cid:durableId="1268536209">
    <w:abstractNumId w:val="67"/>
  </w:num>
  <w:num w:numId="115" w16cid:durableId="603001856">
    <w:abstractNumId w:val="77"/>
  </w:num>
  <w:num w:numId="116" w16cid:durableId="41905772">
    <w:abstractNumId w:val="13"/>
  </w:num>
  <w:num w:numId="117" w16cid:durableId="935871616">
    <w:abstractNumId w:val="39"/>
  </w:num>
  <w:num w:numId="118" w16cid:durableId="1768841013">
    <w:abstractNumId w:val="76"/>
  </w:num>
  <w:num w:numId="119" w16cid:durableId="900410431">
    <w:abstractNumId w:val="94"/>
  </w:num>
  <w:num w:numId="120" w16cid:durableId="315885655">
    <w:abstractNumId w:val="51"/>
  </w:num>
  <w:num w:numId="121" w16cid:durableId="1814448626">
    <w:abstractNumId w:val="58"/>
  </w:num>
  <w:num w:numId="122" w16cid:durableId="1097486741">
    <w:abstractNumId w:val="216"/>
  </w:num>
  <w:num w:numId="123" w16cid:durableId="1956865228">
    <w:abstractNumId w:val="4"/>
  </w:num>
  <w:num w:numId="124" w16cid:durableId="1276867340">
    <w:abstractNumId w:val="96"/>
  </w:num>
  <w:num w:numId="125" w16cid:durableId="1608587397">
    <w:abstractNumId w:val="155"/>
  </w:num>
  <w:num w:numId="126" w16cid:durableId="2131439396">
    <w:abstractNumId w:val="158"/>
  </w:num>
  <w:num w:numId="127" w16cid:durableId="1244336791">
    <w:abstractNumId w:val="53"/>
  </w:num>
  <w:num w:numId="128" w16cid:durableId="818154906">
    <w:abstractNumId w:val="160"/>
  </w:num>
  <w:num w:numId="129" w16cid:durableId="1882933843">
    <w:abstractNumId w:val="196"/>
  </w:num>
  <w:num w:numId="130" w16cid:durableId="1056199195">
    <w:abstractNumId w:val="56"/>
  </w:num>
  <w:num w:numId="131" w16cid:durableId="553470426">
    <w:abstractNumId w:val="75"/>
  </w:num>
  <w:num w:numId="132" w16cid:durableId="739669324">
    <w:abstractNumId w:val="174"/>
  </w:num>
  <w:num w:numId="133" w16cid:durableId="1342589866">
    <w:abstractNumId w:val="117"/>
  </w:num>
  <w:num w:numId="134" w16cid:durableId="805589429">
    <w:abstractNumId w:val="191"/>
  </w:num>
  <w:num w:numId="135" w16cid:durableId="1751851846">
    <w:abstractNumId w:val="87"/>
  </w:num>
  <w:num w:numId="136" w16cid:durableId="1035348142">
    <w:abstractNumId w:val="163"/>
  </w:num>
  <w:num w:numId="137" w16cid:durableId="342322650">
    <w:abstractNumId w:val="123"/>
  </w:num>
  <w:num w:numId="138" w16cid:durableId="2021813476">
    <w:abstractNumId w:val="60"/>
  </w:num>
  <w:num w:numId="139" w16cid:durableId="1260796502">
    <w:abstractNumId w:val="124"/>
  </w:num>
  <w:num w:numId="140" w16cid:durableId="211890294">
    <w:abstractNumId w:val="118"/>
  </w:num>
  <w:num w:numId="141" w16cid:durableId="1770925473">
    <w:abstractNumId w:val="151"/>
  </w:num>
  <w:num w:numId="142" w16cid:durableId="192891600">
    <w:abstractNumId w:val="23"/>
  </w:num>
  <w:num w:numId="143" w16cid:durableId="675690864">
    <w:abstractNumId w:val="132"/>
  </w:num>
  <w:num w:numId="144" w16cid:durableId="1495105408">
    <w:abstractNumId w:val="92"/>
  </w:num>
  <w:num w:numId="145" w16cid:durableId="170608313">
    <w:abstractNumId w:val="7"/>
  </w:num>
  <w:num w:numId="146" w16cid:durableId="388725436">
    <w:abstractNumId w:val="178"/>
  </w:num>
  <w:num w:numId="147" w16cid:durableId="1916433450">
    <w:abstractNumId w:val="142"/>
  </w:num>
  <w:num w:numId="148" w16cid:durableId="3675684">
    <w:abstractNumId w:val="111"/>
  </w:num>
  <w:num w:numId="149" w16cid:durableId="1134447677">
    <w:abstractNumId w:val="129"/>
  </w:num>
  <w:num w:numId="150" w16cid:durableId="269163122">
    <w:abstractNumId w:val="120"/>
  </w:num>
  <w:num w:numId="151" w16cid:durableId="596711321">
    <w:abstractNumId w:val="141"/>
  </w:num>
  <w:num w:numId="152" w16cid:durableId="574584926">
    <w:abstractNumId w:val="18"/>
  </w:num>
  <w:num w:numId="153" w16cid:durableId="2109736526">
    <w:abstractNumId w:val="201"/>
  </w:num>
  <w:num w:numId="154" w16cid:durableId="1291741062">
    <w:abstractNumId w:val="217"/>
  </w:num>
  <w:num w:numId="155" w16cid:durableId="1206135565">
    <w:abstractNumId w:val="149"/>
  </w:num>
  <w:num w:numId="156" w16cid:durableId="154761118">
    <w:abstractNumId w:val="116"/>
  </w:num>
  <w:num w:numId="157" w16cid:durableId="6100150">
    <w:abstractNumId w:val="71"/>
  </w:num>
  <w:num w:numId="158" w16cid:durableId="1250579651">
    <w:abstractNumId w:val="81"/>
  </w:num>
  <w:num w:numId="159" w16cid:durableId="356202047">
    <w:abstractNumId w:val="31"/>
  </w:num>
  <w:num w:numId="160" w16cid:durableId="884827526">
    <w:abstractNumId w:val="148"/>
  </w:num>
  <w:num w:numId="161" w16cid:durableId="34549794">
    <w:abstractNumId w:val="52"/>
  </w:num>
  <w:num w:numId="162" w16cid:durableId="1224100997">
    <w:abstractNumId w:val="104"/>
  </w:num>
  <w:num w:numId="163" w16cid:durableId="940256393">
    <w:abstractNumId w:val="161"/>
  </w:num>
  <w:num w:numId="164" w16cid:durableId="1318457270">
    <w:abstractNumId w:val="146"/>
  </w:num>
  <w:num w:numId="165" w16cid:durableId="1415737338">
    <w:abstractNumId w:val="110"/>
  </w:num>
  <w:num w:numId="166" w16cid:durableId="1779907670">
    <w:abstractNumId w:val="42"/>
  </w:num>
  <w:num w:numId="167" w16cid:durableId="1723602264">
    <w:abstractNumId w:val="182"/>
  </w:num>
  <w:num w:numId="168" w16cid:durableId="1451587149">
    <w:abstractNumId w:val="28"/>
  </w:num>
  <w:num w:numId="169" w16cid:durableId="723872476">
    <w:abstractNumId w:val="128"/>
  </w:num>
  <w:num w:numId="170" w16cid:durableId="372077083">
    <w:abstractNumId w:val="143"/>
  </w:num>
  <w:num w:numId="171" w16cid:durableId="62607842">
    <w:abstractNumId w:val="130"/>
  </w:num>
  <w:num w:numId="172" w16cid:durableId="915626482">
    <w:abstractNumId w:val="14"/>
  </w:num>
  <w:num w:numId="173" w16cid:durableId="748817343">
    <w:abstractNumId w:val="175"/>
  </w:num>
  <w:num w:numId="174" w16cid:durableId="1438216128">
    <w:abstractNumId w:val="65"/>
  </w:num>
  <w:num w:numId="175" w16cid:durableId="1443257700">
    <w:abstractNumId w:val="167"/>
  </w:num>
  <w:num w:numId="176" w16cid:durableId="1118377114">
    <w:abstractNumId w:val="29"/>
  </w:num>
  <w:num w:numId="177" w16cid:durableId="353919586">
    <w:abstractNumId w:val="207"/>
  </w:num>
  <w:num w:numId="178" w16cid:durableId="1156804488">
    <w:abstractNumId w:val="49"/>
  </w:num>
  <w:num w:numId="179" w16cid:durableId="10113203">
    <w:abstractNumId w:val="55"/>
  </w:num>
  <w:num w:numId="180" w16cid:durableId="1554924990">
    <w:abstractNumId w:val="80"/>
  </w:num>
  <w:num w:numId="181" w16cid:durableId="776678429">
    <w:abstractNumId w:val="114"/>
  </w:num>
  <w:num w:numId="182" w16cid:durableId="286818004">
    <w:abstractNumId w:val="41"/>
  </w:num>
  <w:num w:numId="183" w16cid:durableId="586352084">
    <w:abstractNumId w:val="170"/>
  </w:num>
  <w:num w:numId="184" w16cid:durableId="94792951">
    <w:abstractNumId w:val="115"/>
  </w:num>
  <w:num w:numId="185" w16cid:durableId="309754411">
    <w:abstractNumId w:val="99"/>
  </w:num>
  <w:num w:numId="186" w16cid:durableId="33771888">
    <w:abstractNumId w:val="54"/>
  </w:num>
  <w:num w:numId="187" w16cid:durableId="687558474">
    <w:abstractNumId w:val="197"/>
  </w:num>
  <w:num w:numId="188" w16cid:durableId="70664397">
    <w:abstractNumId w:val="3"/>
  </w:num>
  <w:num w:numId="189" w16cid:durableId="294680036">
    <w:abstractNumId w:val="210"/>
  </w:num>
  <w:num w:numId="190" w16cid:durableId="1692031726">
    <w:abstractNumId w:val="200"/>
  </w:num>
  <w:num w:numId="191" w16cid:durableId="1066680195">
    <w:abstractNumId w:val="89"/>
  </w:num>
  <w:num w:numId="192" w16cid:durableId="286083286">
    <w:abstractNumId w:val="88"/>
  </w:num>
  <w:num w:numId="193" w16cid:durableId="1120108163">
    <w:abstractNumId w:val="20"/>
  </w:num>
  <w:num w:numId="194" w16cid:durableId="1195267973">
    <w:abstractNumId w:val="98"/>
  </w:num>
  <w:num w:numId="195" w16cid:durableId="235824573">
    <w:abstractNumId w:val="38"/>
  </w:num>
  <w:num w:numId="196" w16cid:durableId="1302736065">
    <w:abstractNumId w:val="140"/>
  </w:num>
  <w:num w:numId="197" w16cid:durableId="1855072565">
    <w:abstractNumId w:val="48"/>
  </w:num>
  <w:num w:numId="198" w16cid:durableId="1005595493">
    <w:abstractNumId w:val="33"/>
  </w:num>
  <w:num w:numId="199" w16cid:durableId="528300868">
    <w:abstractNumId w:val="192"/>
  </w:num>
  <w:num w:numId="200" w16cid:durableId="1263340247">
    <w:abstractNumId w:val="180"/>
  </w:num>
  <w:num w:numId="201" w16cid:durableId="1531724496">
    <w:abstractNumId w:val="25"/>
  </w:num>
  <w:num w:numId="202" w16cid:durableId="696079815">
    <w:abstractNumId w:val="177"/>
  </w:num>
  <w:num w:numId="203" w16cid:durableId="2023429639">
    <w:abstractNumId w:val="202"/>
  </w:num>
  <w:num w:numId="204" w16cid:durableId="502664141">
    <w:abstractNumId w:val="173"/>
  </w:num>
  <w:num w:numId="205" w16cid:durableId="1351180270">
    <w:abstractNumId w:val="164"/>
  </w:num>
  <w:num w:numId="206" w16cid:durableId="2117216071">
    <w:abstractNumId w:val="193"/>
  </w:num>
  <w:num w:numId="207" w16cid:durableId="137118162">
    <w:abstractNumId w:val="34"/>
  </w:num>
  <w:num w:numId="208" w16cid:durableId="555627956">
    <w:abstractNumId w:val="166"/>
  </w:num>
  <w:num w:numId="209" w16cid:durableId="870260547">
    <w:abstractNumId w:val="190"/>
  </w:num>
  <w:num w:numId="210" w16cid:durableId="641469671">
    <w:abstractNumId w:val="214"/>
  </w:num>
  <w:num w:numId="211" w16cid:durableId="1009648051">
    <w:abstractNumId w:val="82"/>
  </w:num>
  <w:num w:numId="212" w16cid:durableId="1470248171">
    <w:abstractNumId w:val="63"/>
  </w:num>
  <w:num w:numId="213" w16cid:durableId="1499346537">
    <w:abstractNumId w:val="168"/>
  </w:num>
  <w:num w:numId="214" w16cid:durableId="1576161106">
    <w:abstractNumId w:val="69"/>
  </w:num>
  <w:num w:numId="215" w16cid:durableId="1450205058">
    <w:abstractNumId w:val="103"/>
  </w:num>
  <w:num w:numId="216" w16cid:durableId="476923835">
    <w:abstractNumId w:val="138"/>
  </w:num>
  <w:num w:numId="217" w16cid:durableId="544752296">
    <w:abstractNumId w:val="22"/>
  </w:num>
  <w:num w:numId="218" w16cid:durableId="265575199">
    <w:abstractNumId w:val="2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41194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52879"/>
    <w:rsid w:val="004553DB"/>
    <w:rsid w:val="004A6242"/>
    <w:rsid w:val="004B49D6"/>
    <w:rsid w:val="004D247E"/>
    <w:rsid w:val="004E074F"/>
    <w:rsid w:val="0050069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31ED3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503E9"/>
    <w:rsid w:val="00D9461E"/>
    <w:rsid w:val="00DA6E3D"/>
    <w:rsid w:val="00DD2902"/>
    <w:rsid w:val="00DE760B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2025-09-26T07:17:00Z</dcterms:created>
  <dcterms:modified xsi:type="dcterms:W3CDTF">2025-09-26T07:24:00Z</dcterms:modified>
</cp:coreProperties>
</file>