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6965" w14:textId="380A2DE5" w:rsidR="00D06DA9" w:rsidRPr="00D06DA9" w:rsidRDefault="00D06DA9" w:rsidP="00D06DA9">
      <w:pPr>
        <w:pStyle w:val="Titre1"/>
      </w:pPr>
      <w:r w:rsidRPr="00D06DA9">
        <w:t>Fiche 6 — La hiérarchie des sources comptables</w:t>
      </w:r>
    </w:p>
    <w:p w14:paraId="17211672" w14:textId="77777777" w:rsidR="00D06DA9" w:rsidRPr="00D06DA9" w:rsidRDefault="00D06DA9" w:rsidP="00D06DA9">
      <w:pPr>
        <w:pStyle w:val="Titre2"/>
        <w:spacing w:before="0" w:after="0"/>
      </w:pPr>
      <w:r w:rsidRPr="00D06DA9">
        <w:t>1) Définition</w:t>
      </w:r>
    </w:p>
    <w:p w14:paraId="6B66C337" w14:textId="77777777" w:rsidR="00D06DA9" w:rsidRPr="00D06DA9" w:rsidRDefault="00D06DA9" w:rsidP="00D06DA9">
      <w:pPr>
        <w:spacing w:after="0"/>
      </w:pPr>
      <w:r w:rsidRPr="00D06DA9">
        <w:t xml:space="preserve">La comptabilité française repose sur une </w:t>
      </w:r>
      <w:r w:rsidRPr="00D06DA9">
        <w:rPr>
          <w:b/>
          <w:bCs/>
        </w:rPr>
        <w:t>hiérarchie de sources</w:t>
      </w:r>
      <w:r w:rsidRPr="00D06DA9">
        <w:t xml:space="preserve"> : textes légaux, règlements nationaux, directives européennes et normes internationales.</w:t>
      </w:r>
      <w:r w:rsidRPr="00D06DA9">
        <w:br/>
      </w:r>
      <w:r w:rsidRPr="00D06DA9">
        <w:rPr>
          <w:rFonts w:ascii="Segoe UI Emoji" w:hAnsi="Segoe UI Emoji" w:cs="Segoe UI Emoji"/>
        </w:rPr>
        <w:t>👉</w:t>
      </w:r>
      <w:r w:rsidRPr="00D06DA9">
        <w:t xml:space="preserve"> Cette hiérarchie garantit la </w:t>
      </w:r>
      <w:r w:rsidRPr="00D06DA9">
        <w:rPr>
          <w:b/>
          <w:bCs/>
        </w:rPr>
        <w:t>cohérence</w:t>
      </w:r>
      <w:r w:rsidRPr="00D06DA9">
        <w:t xml:space="preserve"> du système et son articulation avec l’</w:t>
      </w:r>
      <w:r w:rsidRPr="00D06DA9">
        <w:rPr>
          <w:b/>
          <w:bCs/>
        </w:rPr>
        <w:t>internationalisation des échanges</w:t>
      </w:r>
      <w:r w:rsidRPr="00D06DA9">
        <w:t>.</w:t>
      </w:r>
    </w:p>
    <w:p w14:paraId="46FEC552" w14:textId="77777777" w:rsidR="00D06DA9" w:rsidRPr="00D06DA9" w:rsidRDefault="00D06DA9" w:rsidP="00D06DA9">
      <w:pPr>
        <w:pStyle w:val="Titre2"/>
        <w:spacing w:before="0" w:after="0"/>
      </w:pPr>
      <w:r w:rsidRPr="00D06DA9">
        <w:t>2) Les sources nationales</w:t>
      </w:r>
    </w:p>
    <w:p w14:paraId="36E4C3FD" w14:textId="77777777" w:rsidR="00D06DA9" w:rsidRPr="00D06DA9" w:rsidRDefault="00D06DA9" w:rsidP="00D06DA9">
      <w:pPr>
        <w:spacing w:after="0"/>
        <w:rPr>
          <w:b/>
          <w:bCs/>
        </w:rPr>
      </w:pPr>
      <w:r w:rsidRPr="00D06DA9">
        <w:rPr>
          <w:b/>
          <w:bCs/>
        </w:rPr>
        <w:t>a) Code de commerce</w:t>
      </w:r>
    </w:p>
    <w:p w14:paraId="013F9BA7" w14:textId="77777777" w:rsidR="00D06DA9" w:rsidRPr="00D06DA9" w:rsidRDefault="00D06DA9" w:rsidP="00D06DA9">
      <w:pPr>
        <w:numPr>
          <w:ilvl w:val="0"/>
          <w:numId w:val="220"/>
        </w:numPr>
        <w:spacing w:after="0"/>
      </w:pPr>
      <w:r w:rsidRPr="00D06DA9">
        <w:t xml:space="preserve">Articles </w:t>
      </w:r>
      <w:r w:rsidRPr="00D06DA9">
        <w:rPr>
          <w:b/>
          <w:bCs/>
        </w:rPr>
        <w:t>L.123-12 à L.123-28</w:t>
      </w:r>
      <w:r w:rsidRPr="00D06DA9">
        <w:t xml:space="preserve"> : obligation de tenir une comptabilité régulière, sincère et fidèle.</w:t>
      </w:r>
    </w:p>
    <w:p w14:paraId="004307E0" w14:textId="77777777" w:rsidR="00D06DA9" w:rsidRPr="00D06DA9" w:rsidRDefault="00D06DA9" w:rsidP="00D06DA9">
      <w:pPr>
        <w:numPr>
          <w:ilvl w:val="0"/>
          <w:numId w:val="220"/>
        </w:numPr>
        <w:spacing w:after="0"/>
      </w:pPr>
      <w:r w:rsidRPr="00D06DA9">
        <w:t xml:space="preserve">Articles </w:t>
      </w:r>
      <w:r w:rsidRPr="00D06DA9">
        <w:rPr>
          <w:b/>
          <w:bCs/>
        </w:rPr>
        <w:t>R.123-172 et suivants</w:t>
      </w:r>
      <w:r w:rsidRPr="00D06DA9">
        <w:t xml:space="preserve"> : contenu et présentation des comptes annuels.</w:t>
      </w:r>
    </w:p>
    <w:p w14:paraId="2691C451" w14:textId="77777777" w:rsidR="00D06DA9" w:rsidRPr="00D06DA9" w:rsidRDefault="00D06DA9" w:rsidP="00D06DA9">
      <w:pPr>
        <w:spacing w:after="0"/>
        <w:rPr>
          <w:b/>
          <w:bCs/>
        </w:rPr>
      </w:pPr>
      <w:r w:rsidRPr="00D06DA9">
        <w:rPr>
          <w:b/>
          <w:bCs/>
        </w:rPr>
        <w:t>b) Plan Comptable Général (PCG 2025)</w:t>
      </w:r>
    </w:p>
    <w:p w14:paraId="41250F48" w14:textId="77777777" w:rsidR="00D06DA9" w:rsidRPr="00D06DA9" w:rsidRDefault="00D06DA9" w:rsidP="00D06DA9">
      <w:pPr>
        <w:numPr>
          <w:ilvl w:val="0"/>
          <w:numId w:val="221"/>
        </w:numPr>
        <w:spacing w:after="0"/>
      </w:pPr>
      <w:r w:rsidRPr="00D06DA9">
        <w:t>Document normatif élaboré par l’</w:t>
      </w:r>
      <w:r w:rsidRPr="00D06DA9">
        <w:rPr>
          <w:b/>
          <w:bCs/>
        </w:rPr>
        <w:t>ANC</w:t>
      </w:r>
      <w:r w:rsidRPr="00D06DA9">
        <w:t>.</w:t>
      </w:r>
    </w:p>
    <w:p w14:paraId="45C825E8" w14:textId="77777777" w:rsidR="00D06DA9" w:rsidRPr="00D06DA9" w:rsidRDefault="00D06DA9" w:rsidP="00D06DA9">
      <w:pPr>
        <w:numPr>
          <w:ilvl w:val="0"/>
          <w:numId w:val="221"/>
        </w:numPr>
        <w:spacing w:after="0"/>
      </w:pPr>
      <w:r w:rsidRPr="00D06DA9">
        <w:t>Contient : principes, méthodes, nomenclature (classes 1 à 7), règles d’évaluation et de présentation.</w:t>
      </w:r>
    </w:p>
    <w:p w14:paraId="2A630C93" w14:textId="77777777" w:rsidR="00D06DA9" w:rsidRPr="00D06DA9" w:rsidRDefault="00D06DA9" w:rsidP="00D06DA9">
      <w:pPr>
        <w:numPr>
          <w:ilvl w:val="0"/>
          <w:numId w:val="221"/>
        </w:numPr>
        <w:spacing w:after="0"/>
      </w:pPr>
      <w:r w:rsidRPr="00D06DA9">
        <w:t xml:space="preserve">Réforme </w:t>
      </w:r>
      <w:r w:rsidRPr="00D06DA9">
        <w:rPr>
          <w:b/>
          <w:bCs/>
        </w:rPr>
        <w:t>ANC 2022-06</w:t>
      </w:r>
      <w:r w:rsidRPr="00D06DA9">
        <w:t xml:space="preserve">, applicable au </w:t>
      </w:r>
      <w:r w:rsidRPr="00D06DA9">
        <w:rPr>
          <w:b/>
          <w:bCs/>
        </w:rPr>
        <w:t>1er janvier 2025</w:t>
      </w:r>
      <w:r w:rsidRPr="00D06DA9">
        <w:t xml:space="preserve"> :</w:t>
      </w:r>
    </w:p>
    <w:p w14:paraId="34E62E55" w14:textId="77777777" w:rsidR="00D06DA9" w:rsidRPr="00D06DA9" w:rsidRDefault="00D06DA9" w:rsidP="00D06DA9">
      <w:pPr>
        <w:numPr>
          <w:ilvl w:val="1"/>
          <w:numId w:val="221"/>
        </w:numPr>
        <w:spacing w:after="0"/>
      </w:pPr>
      <w:r w:rsidRPr="00D06DA9">
        <w:t>Suppression des transferts de charges.</w:t>
      </w:r>
    </w:p>
    <w:p w14:paraId="7D8C3EED" w14:textId="77777777" w:rsidR="00D06DA9" w:rsidRPr="00D06DA9" w:rsidRDefault="00D06DA9" w:rsidP="00D06DA9">
      <w:pPr>
        <w:numPr>
          <w:ilvl w:val="1"/>
          <w:numId w:val="221"/>
        </w:numPr>
        <w:spacing w:after="0"/>
      </w:pPr>
      <w:r w:rsidRPr="00D06DA9">
        <w:t>Résultat exceptionnel limité aux événements majeurs et inhabituels.</w:t>
      </w:r>
    </w:p>
    <w:p w14:paraId="08571851" w14:textId="77777777" w:rsidR="00D06DA9" w:rsidRPr="00D06DA9" w:rsidRDefault="00D06DA9" w:rsidP="00D06DA9">
      <w:pPr>
        <w:numPr>
          <w:ilvl w:val="1"/>
          <w:numId w:val="221"/>
        </w:numPr>
        <w:spacing w:after="0"/>
      </w:pPr>
      <w:r w:rsidRPr="00D06DA9">
        <w:t>Présentation en liste ou tableau des états financiers.</w:t>
      </w:r>
    </w:p>
    <w:p w14:paraId="104C859D" w14:textId="77777777" w:rsidR="00D06DA9" w:rsidRPr="00D06DA9" w:rsidRDefault="00D06DA9" w:rsidP="00D06DA9">
      <w:pPr>
        <w:spacing w:after="0"/>
        <w:rPr>
          <w:b/>
          <w:bCs/>
        </w:rPr>
      </w:pPr>
      <w:r w:rsidRPr="00D06DA9">
        <w:rPr>
          <w:b/>
          <w:bCs/>
        </w:rPr>
        <w:t>c) Autorité des Normes Comptables (ANC)</w:t>
      </w:r>
    </w:p>
    <w:p w14:paraId="62AE95A0" w14:textId="77777777" w:rsidR="00D06DA9" w:rsidRPr="00D06DA9" w:rsidRDefault="00D06DA9" w:rsidP="00D06DA9">
      <w:pPr>
        <w:numPr>
          <w:ilvl w:val="0"/>
          <w:numId w:val="222"/>
        </w:numPr>
        <w:spacing w:after="0"/>
      </w:pPr>
      <w:r w:rsidRPr="00D06DA9">
        <w:t xml:space="preserve">Unique organisme national de normalisation depuis </w:t>
      </w:r>
      <w:r w:rsidRPr="00D06DA9">
        <w:rPr>
          <w:b/>
          <w:bCs/>
        </w:rPr>
        <w:t>2009</w:t>
      </w:r>
      <w:r w:rsidRPr="00D06DA9">
        <w:t xml:space="preserve"> (fusion CNC + CRC).</w:t>
      </w:r>
    </w:p>
    <w:p w14:paraId="5EAF00CD" w14:textId="77777777" w:rsidR="00D06DA9" w:rsidRPr="00D06DA9" w:rsidRDefault="00D06DA9" w:rsidP="00D06DA9">
      <w:pPr>
        <w:numPr>
          <w:ilvl w:val="0"/>
          <w:numId w:val="222"/>
        </w:numPr>
        <w:spacing w:after="0"/>
      </w:pPr>
      <w:r w:rsidRPr="00D06DA9">
        <w:t>Missions : élaborer règlements (dont PCG), donner des avis, représenter la France à l’international.</w:t>
      </w:r>
    </w:p>
    <w:p w14:paraId="7ABEA4F7" w14:textId="77777777" w:rsidR="00D06DA9" w:rsidRPr="00D06DA9" w:rsidRDefault="00D06DA9" w:rsidP="00D06DA9">
      <w:pPr>
        <w:numPr>
          <w:ilvl w:val="0"/>
          <w:numId w:val="222"/>
        </w:numPr>
        <w:spacing w:after="0"/>
      </w:pPr>
      <w:r w:rsidRPr="00D06DA9">
        <w:t xml:space="preserve">Ses règlements sont homologués par </w:t>
      </w:r>
      <w:r w:rsidRPr="00D06DA9">
        <w:rPr>
          <w:b/>
          <w:bCs/>
        </w:rPr>
        <w:t>arrêtés ministériels</w:t>
      </w:r>
      <w:r w:rsidRPr="00D06DA9">
        <w:t>.</w:t>
      </w:r>
    </w:p>
    <w:p w14:paraId="63A77C89" w14:textId="77777777" w:rsidR="00D06DA9" w:rsidRPr="00D06DA9" w:rsidRDefault="00D06DA9" w:rsidP="00D06DA9">
      <w:pPr>
        <w:pStyle w:val="Titre2"/>
        <w:spacing w:before="0" w:after="0"/>
      </w:pPr>
      <w:r w:rsidRPr="00D06DA9">
        <w:t>3) Les sources européennes</w:t>
      </w:r>
    </w:p>
    <w:p w14:paraId="2B617999" w14:textId="77777777" w:rsidR="00D06DA9" w:rsidRPr="00D06DA9" w:rsidRDefault="00D06DA9" w:rsidP="00D06DA9">
      <w:pPr>
        <w:numPr>
          <w:ilvl w:val="0"/>
          <w:numId w:val="223"/>
        </w:numPr>
        <w:spacing w:after="0"/>
      </w:pPr>
      <w:r w:rsidRPr="00D06DA9">
        <w:rPr>
          <w:b/>
          <w:bCs/>
        </w:rPr>
        <w:t>Directives européennes</w:t>
      </w:r>
      <w:r w:rsidRPr="00D06DA9">
        <w:t xml:space="preserve"> : harmonisation (directive comptable du </w:t>
      </w:r>
      <w:r w:rsidRPr="00D06DA9">
        <w:rPr>
          <w:b/>
          <w:bCs/>
        </w:rPr>
        <w:t>26 juin 2013</w:t>
      </w:r>
      <w:r w:rsidRPr="00D06DA9">
        <w:t>, transposée en 2016).</w:t>
      </w:r>
    </w:p>
    <w:p w14:paraId="5582B6A7" w14:textId="77777777" w:rsidR="00D06DA9" w:rsidRPr="00D06DA9" w:rsidRDefault="00D06DA9" w:rsidP="00D06DA9">
      <w:pPr>
        <w:numPr>
          <w:ilvl w:val="0"/>
          <w:numId w:val="223"/>
        </w:numPr>
        <w:spacing w:after="0"/>
      </w:pPr>
      <w:r w:rsidRPr="00D06DA9">
        <w:rPr>
          <w:b/>
          <w:bCs/>
        </w:rPr>
        <w:t>Règlements européens</w:t>
      </w:r>
      <w:r w:rsidRPr="00D06DA9">
        <w:t xml:space="preserve"> : applicables directement (ex. adoption obligatoire des IFRS pour les consolidés cotés depuis 2005).</w:t>
      </w:r>
    </w:p>
    <w:p w14:paraId="12A5F6DE" w14:textId="77777777" w:rsidR="00D06DA9" w:rsidRPr="00D06DA9" w:rsidRDefault="00D06DA9" w:rsidP="00D06DA9">
      <w:pPr>
        <w:numPr>
          <w:ilvl w:val="0"/>
          <w:numId w:val="223"/>
        </w:numPr>
        <w:spacing w:after="0"/>
      </w:pPr>
      <w:r w:rsidRPr="00D06DA9">
        <w:t>Organes :</w:t>
      </w:r>
    </w:p>
    <w:p w14:paraId="03FC6018" w14:textId="77777777" w:rsidR="00D06DA9" w:rsidRPr="00D06DA9" w:rsidRDefault="00D06DA9" w:rsidP="00D06DA9">
      <w:pPr>
        <w:numPr>
          <w:ilvl w:val="1"/>
          <w:numId w:val="223"/>
        </w:numPr>
        <w:spacing w:after="0"/>
      </w:pPr>
      <w:r w:rsidRPr="00D06DA9">
        <w:rPr>
          <w:b/>
          <w:bCs/>
        </w:rPr>
        <w:t>Commission européenne</w:t>
      </w:r>
      <w:r w:rsidRPr="00D06DA9">
        <w:t xml:space="preserve"> : propose les textes.</w:t>
      </w:r>
    </w:p>
    <w:p w14:paraId="03FF2A1A" w14:textId="77777777" w:rsidR="00D06DA9" w:rsidRPr="00D06DA9" w:rsidRDefault="00D06DA9" w:rsidP="00D06DA9">
      <w:pPr>
        <w:numPr>
          <w:ilvl w:val="1"/>
          <w:numId w:val="223"/>
        </w:numPr>
        <w:spacing w:after="0"/>
      </w:pPr>
      <w:r w:rsidRPr="00D06DA9">
        <w:rPr>
          <w:b/>
          <w:bCs/>
        </w:rPr>
        <w:t>EFRAG</w:t>
      </w:r>
      <w:r w:rsidRPr="00D06DA9">
        <w:t xml:space="preserve"> : expertise technique, avis sur normes IFRS.</w:t>
      </w:r>
    </w:p>
    <w:p w14:paraId="6EFECF74" w14:textId="77777777" w:rsidR="00D06DA9" w:rsidRPr="00D06DA9" w:rsidRDefault="00D06DA9" w:rsidP="00D06DA9">
      <w:pPr>
        <w:numPr>
          <w:ilvl w:val="1"/>
          <w:numId w:val="223"/>
        </w:numPr>
        <w:spacing w:after="0"/>
        <w:rPr>
          <w:lang w:val="en-GB"/>
        </w:rPr>
      </w:pPr>
      <w:r w:rsidRPr="00D06DA9">
        <w:rPr>
          <w:b/>
          <w:bCs/>
          <w:lang w:val="en-GB"/>
        </w:rPr>
        <w:t>ARC (Accounting Regulatory Committee</w:t>
      </w:r>
      <w:proofErr w:type="gramStart"/>
      <w:r w:rsidRPr="00D06DA9">
        <w:rPr>
          <w:b/>
          <w:bCs/>
          <w:lang w:val="en-GB"/>
        </w:rPr>
        <w:t>)</w:t>
      </w:r>
      <w:r w:rsidRPr="00D06DA9">
        <w:rPr>
          <w:lang w:val="en-GB"/>
        </w:rPr>
        <w:t xml:space="preserve"> :</w:t>
      </w:r>
      <w:proofErr w:type="gramEnd"/>
      <w:r w:rsidRPr="00D06DA9">
        <w:rPr>
          <w:lang w:val="en-GB"/>
        </w:rPr>
        <w:t xml:space="preserve"> validation politique.</w:t>
      </w:r>
    </w:p>
    <w:p w14:paraId="2D8D62FA" w14:textId="77777777" w:rsidR="00D06DA9" w:rsidRPr="00D06DA9" w:rsidRDefault="00D06DA9" w:rsidP="00D06DA9">
      <w:pPr>
        <w:pStyle w:val="Titre2"/>
        <w:spacing w:before="0" w:after="0"/>
      </w:pPr>
      <w:r w:rsidRPr="00D06DA9">
        <w:t>4) Les sources internationales</w:t>
      </w:r>
    </w:p>
    <w:p w14:paraId="241AD30F" w14:textId="77777777" w:rsidR="00D06DA9" w:rsidRPr="00D06DA9" w:rsidRDefault="00D06DA9" w:rsidP="00D06DA9">
      <w:pPr>
        <w:numPr>
          <w:ilvl w:val="0"/>
          <w:numId w:val="224"/>
        </w:numPr>
        <w:spacing w:after="0"/>
      </w:pPr>
      <w:r w:rsidRPr="00D06DA9">
        <w:rPr>
          <w:b/>
          <w:bCs/>
        </w:rPr>
        <w:t>IASB</w:t>
      </w:r>
      <w:r w:rsidRPr="00D06DA9">
        <w:t xml:space="preserve"> : élabore les normes </w:t>
      </w:r>
      <w:r w:rsidRPr="00D06DA9">
        <w:rPr>
          <w:b/>
          <w:bCs/>
        </w:rPr>
        <w:t>IFRS</w:t>
      </w:r>
      <w:r w:rsidRPr="00D06DA9">
        <w:t>.</w:t>
      </w:r>
    </w:p>
    <w:p w14:paraId="341FAFCE" w14:textId="77777777" w:rsidR="00D06DA9" w:rsidRPr="00D06DA9" w:rsidRDefault="00D06DA9" w:rsidP="00D06DA9">
      <w:pPr>
        <w:numPr>
          <w:ilvl w:val="0"/>
          <w:numId w:val="224"/>
        </w:numPr>
        <w:spacing w:after="0"/>
        <w:rPr>
          <w:lang w:val="en-GB"/>
        </w:rPr>
      </w:pPr>
      <w:r w:rsidRPr="00D06DA9">
        <w:rPr>
          <w:b/>
          <w:bCs/>
          <w:lang w:val="en-GB"/>
        </w:rPr>
        <w:t xml:space="preserve">IFRS </w:t>
      </w:r>
      <w:proofErr w:type="gramStart"/>
      <w:r w:rsidRPr="00D06DA9">
        <w:rPr>
          <w:b/>
          <w:bCs/>
          <w:lang w:val="en-GB"/>
        </w:rPr>
        <w:t>Foundation</w:t>
      </w:r>
      <w:r w:rsidRPr="00D06DA9">
        <w:rPr>
          <w:lang w:val="en-GB"/>
        </w:rPr>
        <w:t xml:space="preserve"> :</w:t>
      </w:r>
      <w:proofErr w:type="gramEnd"/>
      <w:r w:rsidRPr="00D06DA9">
        <w:rPr>
          <w:lang w:val="en-GB"/>
        </w:rPr>
        <w:t xml:space="preserve"> </w:t>
      </w:r>
      <w:proofErr w:type="spellStart"/>
      <w:r w:rsidRPr="00D06DA9">
        <w:rPr>
          <w:lang w:val="en-GB"/>
        </w:rPr>
        <w:t>gouvernance</w:t>
      </w:r>
      <w:proofErr w:type="spellEnd"/>
      <w:r w:rsidRPr="00D06DA9">
        <w:rPr>
          <w:lang w:val="en-GB"/>
        </w:rPr>
        <w:t xml:space="preserve"> (IASB + IFRS Interpretations Committee + IFRS Advisory Council).</w:t>
      </w:r>
    </w:p>
    <w:p w14:paraId="3EA84502" w14:textId="77777777" w:rsidR="00D06DA9" w:rsidRPr="00D06DA9" w:rsidRDefault="00D06DA9" w:rsidP="00D06DA9">
      <w:pPr>
        <w:numPr>
          <w:ilvl w:val="0"/>
          <w:numId w:val="224"/>
        </w:numPr>
        <w:spacing w:after="0"/>
      </w:pPr>
      <w:r w:rsidRPr="00D06DA9">
        <w:t>Objectifs : transparence, comparabilité mondiale, information utile aux investisseurs.</w:t>
      </w:r>
    </w:p>
    <w:p w14:paraId="586C2907" w14:textId="77777777" w:rsidR="00D06DA9" w:rsidRPr="00D06DA9" w:rsidRDefault="00D06DA9" w:rsidP="00D06DA9">
      <w:pPr>
        <w:numPr>
          <w:ilvl w:val="0"/>
          <w:numId w:val="224"/>
        </w:numPr>
        <w:spacing w:after="0"/>
      </w:pPr>
      <w:r w:rsidRPr="00D06DA9">
        <w:t>Distinction :</w:t>
      </w:r>
    </w:p>
    <w:p w14:paraId="486EE070" w14:textId="77777777" w:rsidR="00D06DA9" w:rsidRPr="00D06DA9" w:rsidRDefault="00D06DA9" w:rsidP="00D06DA9">
      <w:pPr>
        <w:numPr>
          <w:ilvl w:val="1"/>
          <w:numId w:val="224"/>
        </w:numPr>
        <w:spacing w:after="0"/>
      </w:pPr>
      <w:r w:rsidRPr="00D06DA9">
        <w:rPr>
          <w:b/>
          <w:bCs/>
        </w:rPr>
        <w:t>IFRS</w:t>
      </w:r>
      <w:r w:rsidRPr="00D06DA9">
        <w:t xml:space="preserve"> : normes actuelles, en vigueur.</w:t>
      </w:r>
    </w:p>
    <w:p w14:paraId="60A4FBEE" w14:textId="77777777" w:rsidR="00D06DA9" w:rsidRPr="00D06DA9" w:rsidRDefault="00D06DA9" w:rsidP="00D06DA9">
      <w:pPr>
        <w:numPr>
          <w:ilvl w:val="1"/>
          <w:numId w:val="224"/>
        </w:numPr>
        <w:spacing w:after="0"/>
      </w:pPr>
      <w:r w:rsidRPr="00D06DA9">
        <w:rPr>
          <w:b/>
          <w:bCs/>
        </w:rPr>
        <w:t>IAS</w:t>
      </w:r>
      <w:r w:rsidRPr="00D06DA9">
        <w:t xml:space="preserve"> : anciennes normes, encore applicables si non remplacées.</w:t>
      </w:r>
    </w:p>
    <w:p w14:paraId="27C5CD7E" w14:textId="77777777" w:rsidR="00D06DA9" w:rsidRPr="00D06DA9" w:rsidRDefault="00D06DA9" w:rsidP="00D06DA9">
      <w:pPr>
        <w:pStyle w:val="Titre2"/>
        <w:spacing w:before="0" w:after="0"/>
      </w:pPr>
      <w:r w:rsidRPr="00D06DA9">
        <w:t>5) Hiérarchie et articulation des sources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3"/>
        <w:gridCol w:w="3069"/>
        <w:gridCol w:w="6700"/>
      </w:tblGrid>
      <w:tr w:rsidR="00D06DA9" w:rsidRPr="00D06DA9" w14:paraId="42FEE9D6" w14:textId="77777777" w:rsidTr="00D06DA9">
        <w:tc>
          <w:tcPr>
            <w:tcW w:w="0" w:type="auto"/>
            <w:hideMark/>
          </w:tcPr>
          <w:p w14:paraId="6A692E64" w14:textId="77777777" w:rsidR="00D06DA9" w:rsidRPr="00D06DA9" w:rsidRDefault="00D06DA9" w:rsidP="00D06DA9">
            <w:pPr>
              <w:spacing w:after="0"/>
              <w:rPr>
                <w:b/>
                <w:bCs/>
              </w:rPr>
            </w:pPr>
            <w:r w:rsidRPr="00D06DA9">
              <w:rPr>
                <w:b/>
                <w:bCs/>
              </w:rPr>
              <w:t>Niveau</w:t>
            </w:r>
          </w:p>
        </w:tc>
        <w:tc>
          <w:tcPr>
            <w:tcW w:w="0" w:type="auto"/>
            <w:hideMark/>
          </w:tcPr>
          <w:p w14:paraId="6025A770" w14:textId="77777777" w:rsidR="00D06DA9" w:rsidRPr="00D06DA9" w:rsidRDefault="00D06DA9" w:rsidP="00D06DA9">
            <w:pPr>
              <w:spacing w:after="0"/>
              <w:rPr>
                <w:b/>
                <w:bCs/>
              </w:rPr>
            </w:pPr>
            <w:r w:rsidRPr="00D06DA9">
              <w:rPr>
                <w:b/>
                <w:bCs/>
              </w:rPr>
              <w:t>Source</w:t>
            </w:r>
          </w:p>
        </w:tc>
        <w:tc>
          <w:tcPr>
            <w:tcW w:w="0" w:type="auto"/>
            <w:hideMark/>
          </w:tcPr>
          <w:p w14:paraId="1F957038" w14:textId="77777777" w:rsidR="00D06DA9" w:rsidRPr="00D06DA9" w:rsidRDefault="00D06DA9" w:rsidP="00D06DA9">
            <w:pPr>
              <w:spacing w:after="0"/>
              <w:rPr>
                <w:b/>
                <w:bCs/>
              </w:rPr>
            </w:pPr>
            <w:r w:rsidRPr="00D06DA9">
              <w:rPr>
                <w:b/>
                <w:bCs/>
              </w:rPr>
              <w:t>Application</w:t>
            </w:r>
          </w:p>
        </w:tc>
      </w:tr>
      <w:tr w:rsidR="00D06DA9" w:rsidRPr="00D06DA9" w14:paraId="2938E0AB" w14:textId="77777777" w:rsidTr="00D06DA9">
        <w:tc>
          <w:tcPr>
            <w:tcW w:w="0" w:type="auto"/>
            <w:hideMark/>
          </w:tcPr>
          <w:p w14:paraId="485D9A3F" w14:textId="77777777" w:rsidR="00D06DA9" w:rsidRPr="00D06DA9" w:rsidRDefault="00D06DA9" w:rsidP="00D06DA9">
            <w:pPr>
              <w:spacing w:after="0"/>
            </w:pPr>
            <w:r w:rsidRPr="00D06DA9">
              <w:t>1</w:t>
            </w:r>
          </w:p>
        </w:tc>
        <w:tc>
          <w:tcPr>
            <w:tcW w:w="0" w:type="auto"/>
            <w:hideMark/>
          </w:tcPr>
          <w:p w14:paraId="49F3451E" w14:textId="77777777" w:rsidR="00D06DA9" w:rsidRPr="00D06DA9" w:rsidRDefault="00D06DA9" w:rsidP="00D06DA9">
            <w:pPr>
              <w:spacing w:after="0"/>
            </w:pPr>
            <w:r w:rsidRPr="00D06DA9">
              <w:rPr>
                <w:b/>
                <w:bCs/>
              </w:rPr>
              <w:t>Code de commerce</w:t>
            </w:r>
          </w:p>
        </w:tc>
        <w:tc>
          <w:tcPr>
            <w:tcW w:w="0" w:type="auto"/>
            <w:hideMark/>
          </w:tcPr>
          <w:p w14:paraId="14AF6EC3" w14:textId="77777777" w:rsidR="00D06DA9" w:rsidRPr="00D06DA9" w:rsidRDefault="00D06DA9" w:rsidP="00D06DA9">
            <w:pPr>
              <w:spacing w:after="0"/>
            </w:pPr>
            <w:r w:rsidRPr="00D06DA9">
              <w:t>Base légale, applicable à toutes les entreprises françaises</w:t>
            </w:r>
          </w:p>
        </w:tc>
      </w:tr>
      <w:tr w:rsidR="00D06DA9" w:rsidRPr="00D06DA9" w14:paraId="23A127B6" w14:textId="77777777" w:rsidTr="00D06DA9">
        <w:tc>
          <w:tcPr>
            <w:tcW w:w="0" w:type="auto"/>
            <w:hideMark/>
          </w:tcPr>
          <w:p w14:paraId="060FD1F2" w14:textId="77777777" w:rsidR="00D06DA9" w:rsidRPr="00D06DA9" w:rsidRDefault="00D06DA9" w:rsidP="00D06DA9">
            <w:pPr>
              <w:spacing w:after="0"/>
            </w:pPr>
            <w:r w:rsidRPr="00D06DA9">
              <w:t>2</w:t>
            </w:r>
          </w:p>
        </w:tc>
        <w:tc>
          <w:tcPr>
            <w:tcW w:w="0" w:type="auto"/>
            <w:hideMark/>
          </w:tcPr>
          <w:p w14:paraId="27F5F1E1" w14:textId="77777777" w:rsidR="00D06DA9" w:rsidRPr="00D06DA9" w:rsidRDefault="00D06DA9" w:rsidP="00D06DA9">
            <w:pPr>
              <w:spacing w:after="0"/>
            </w:pPr>
            <w:r w:rsidRPr="00D06DA9">
              <w:rPr>
                <w:b/>
                <w:bCs/>
              </w:rPr>
              <w:t>ANC / PCG 2025</w:t>
            </w:r>
          </w:p>
        </w:tc>
        <w:tc>
          <w:tcPr>
            <w:tcW w:w="0" w:type="auto"/>
            <w:hideMark/>
          </w:tcPr>
          <w:p w14:paraId="214D0AB9" w14:textId="77777777" w:rsidR="00D06DA9" w:rsidRPr="00D06DA9" w:rsidRDefault="00D06DA9" w:rsidP="00D06DA9">
            <w:pPr>
              <w:spacing w:after="0"/>
            </w:pPr>
            <w:r w:rsidRPr="00D06DA9">
              <w:t>Normes nationales, obligatoires après homologation</w:t>
            </w:r>
          </w:p>
        </w:tc>
      </w:tr>
      <w:tr w:rsidR="00D06DA9" w:rsidRPr="00D06DA9" w14:paraId="3EF591C2" w14:textId="77777777" w:rsidTr="00D06DA9">
        <w:tc>
          <w:tcPr>
            <w:tcW w:w="0" w:type="auto"/>
            <w:hideMark/>
          </w:tcPr>
          <w:p w14:paraId="787D360C" w14:textId="77777777" w:rsidR="00D06DA9" w:rsidRPr="00D06DA9" w:rsidRDefault="00D06DA9" w:rsidP="00D06DA9">
            <w:pPr>
              <w:spacing w:after="0"/>
            </w:pPr>
            <w:r w:rsidRPr="00D06DA9">
              <w:t>3</w:t>
            </w:r>
          </w:p>
        </w:tc>
        <w:tc>
          <w:tcPr>
            <w:tcW w:w="0" w:type="auto"/>
            <w:hideMark/>
          </w:tcPr>
          <w:p w14:paraId="768F6EC1" w14:textId="77777777" w:rsidR="00D06DA9" w:rsidRPr="00D06DA9" w:rsidRDefault="00D06DA9" w:rsidP="00D06DA9">
            <w:pPr>
              <w:spacing w:after="0"/>
            </w:pPr>
            <w:r w:rsidRPr="00D06DA9">
              <w:rPr>
                <w:b/>
                <w:bCs/>
              </w:rPr>
              <w:t>UE : directives + règlements</w:t>
            </w:r>
          </w:p>
        </w:tc>
        <w:tc>
          <w:tcPr>
            <w:tcW w:w="0" w:type="auto"/>
            <w:hideMark/>
          </w:tcPr>
          <w:p w14:paraId="7798E0D0" w14:textId="77777777" w:rsidR="00D06DA9" w:rsidRPr="00D06DA9" w:rsidRDefault="00D06DA9" w:rsidP="00D06DA9">
            <w:pPr>
              <w:spacing w:after="0"/>
            </w:pPr>
            <w:r w:rsidRPr="00D06DA9">
              <w:t>Directives transposées + règlements d’application directe</w:t>
            </w:r>
          </w:p>
        </w:tc>
      </w:tr>
      <w:tr w:rsidR="00D06DA9" w:rsidRPr="00D06DA9" w14:paraId="221CA32E" w14:textId="77777777" w:rsidTr="00D06DA9">
        <w:tc>
          <w:tcPr>
            <w:tcW w:w="0" w:type="auto"/>
            <w:hideMark/>
          </w:tcPr>
          <w:p w14:paraId="6DE5A59A" w14:textId="77777777" w:rsidR="00D06DA9" w:rsidRPr="00D06DA9" w:rsidRDefault="00D06DA9" w:rsidP="00D06DA9">
            <w:pPr>
              <w:spacing w:after="0"/>
            </w:pPr>
            <w:r w:rsidRPr="00D06DA9">
              <w:t>4</w:t>
            </w:r>
          </w:p>
        </w:tc>
        <w:tc>
          <w:tcPr>
            <w:tcW w:w="0" w:type="auto"/>
            <w:hideMark/>
          </w:tcPr>
          <w:p w14:paraId="1E0EF4E4" w14:textId="77777777" w:rsidR="00D06DA9" w:rsidRPr="00D06DA9" w:rsidRDefault="00D06DA9" w:rsidP="00D06DA9">
            <w:pPr>
              <w:spacing w:after="0"/>
            </w:pPr>
            <w:r w:rsidRPr="00D06DA9">
              <w:rPr>
                <w:b/>
                <w:bCs/>
              </w:rPr>
              <w:t>IFRS (IASB)</w:t>
            </w:r>
          </w:p>
        </w:tc>
        <w:tc>
          <w:tcPr>
            <w:tcW w:w="0" w:type="auto"/>
            <w:hideMark/>
          </w:tcPr>
          <w:p w14:paraId="3ED590B1" w14:textId="77777777" w:rsidR="00D06DA9" w:rsidRPr="00D06DA9" w:rsidRDefault="00D06DA9" w:rsidP="00D06DA9">
            <w:pPr>
              <w:spacing w:after="0"/>
            </w:pPr>
            <w:r w:rsidRPr="00D06DA9">
              <w:t>Obligatoires pour comptes consolidés des sociétés cotées (UE depuis 2005)</w:t>
            </w:r>
          </w:p>
        </w:tc>
      </w:tr>
    </w:tbl>
    <w:p w14:paraId="3FACDD20" w14:textId="77777777" w:rsidR="00D06DA9" w:rsidRPr="00D06DA9" w:rsidRDefault="00D06DA9" w:rsidP="00D06DA9">
      <w:pPr>
        <w:spacing w:after="0"/>
      </w:pPr>
      <w:r w:rsidRPr="00D06DA9">
        <w:rPr>
          <w:rFonts w:ascii="Segoe UI Emoji" w:hAnsi="Segoe UI Emoji" w:cs="Segoe UI Emoji"/>
        </w:rPr>
        <w:t>👉</w:t>
      </w:r>
      <w:r w:rsidRPr="00D06DA9">
        <w:t xml:space="preserve"> Les entreprises non cotées appliquent le </w:t>
      </w:r>
      <w:r w:rsidRPr="00D06DA9">
        <w:rPr>
          <w:b/>
          <w:bCs/>
        </w:rPr>
        <w:t>PCG 2025</w:t>
      </w:r>
      <w:r w:rsidRPr="00D06DA9">
        <w:t xml:space="preserve"> pour les comptes sociaux, mais peuvent opter pour les </w:t>
      </w:r>
      <w:r w:rsidRPr="00D06DA9">
        <w:rPr>
          <w:b/>
          <w:bCs/>
        </w:rPr>
        <w:t>IFRS</w:t>
      </w:r>
      <w:r w:rsidRPr="00D06DA9">
        <w:t xml:space="preserve"> en consolidés (sous conditions).</w:t>
      </w:r>
    </w:p>
    <w:p w14:paraId="0D72993A" w14:textId="77777777" w:rsidR="00D06DA9" w:rsidRPr="00D06DA9" w:rsidRDefault="00D06DA9" w:rsidP="00D06DA9">
      <w:pPr>
        <w:pStyle w:val="Titre2"/>
        <w:spacing w:before="0" w:after="0"/>
      </w:pPr>
      <w:r w:rsidRPr="00D06DA9">
        <w:t>6) Exemple pratique</w:t>
      </w:r>
    </w:p>
    <w:p w14:paraId="006D0D42" w14:textId="77777777" w:rsidR="00D06DA9" w:rsidRPr="00D06DA9" w:rsidRDefault="00D06DA9" w:rsidP="00D06DA9">
      <w:pPr>
        <w:spacing w:after="0"/>
      </w:pPr>
      <w:r w:rsidRPr="00D06DA9">
        <w:t xml:space="preserve">Une société </w:t>
      </w:r>
      <w:r w:rsidRPr="00D06DA9">
        <w:rPr>
          <w:b/>
          <w:bCs/>
        </w:rPr>
        <w:t>cotée</w:t>
      </w:r>
      <w:r w:rsidRPr="00D06DA9">
        <w:t xml:space="preserve"> en France :</w:t>
      </w:r>
    </w:p>
    <w:p w14:paraId="72A23F84" w14:textId="77777777" w:rsidR="00D06DA9" w:rsidRPr="00D06DA9" w:rsidRDefault="00D06DA9" w:rsidP="00D06DA9">
      <w:pPr>
        <w:numPr>
          <w:ilvl w:val="0"/>
          <w:numId w:val="225"/>
        </w:numPr>
        <w:spacing w:after="0"/>
      </w:pPr>
      <w:r w:rsidRPr="00D06DA9">
        <w:t xml:space="preserve">Pour ses comptes </w:t>
      </w:r>
      <w:r w:rsidRPr="00D06DA9">
        <w:rPr>
          <w:b/>
          <w:bCs/>
        </w:rPr>
        <w:t>sociaux</w:t>
      </w:r>
      <w:r w:rsidRPr="00D06DA9">
        <w:t xml:space="preserve"> </w:t>
      </w:r>
      <w:r w:rsidRPr="00D06DA9">
        <w:rPr>
          <w:rFonts w:ascii="Arial" w:hAnsi="Arial" w:cs="Arial"/>
        </w:rPr>
        <w:t>→</w:t>
      </w:r>
      <w:r w:rsidRPr="00D06DA9">
        <w:t xml:space="preserve"> PCG 2025.</w:t>
      </w:r>
    </w:p>
    <w:p w14:paraId="556BA10A" w14:textId="77777777" w:rsidR="00D06DA9" w:rsidRPr="00D06DA9" w:rsidRDefault="00D06DA9" w:rsidP="00D06DA9">
      <w:pPr>
        <w:numPr>
          <w:ilvl w:val="0"/>
          <w:numId w:val="225"/>
        </w:numPr>
        <w:spacing w:after="0"/>
      </w:pPr>
      <w:r w:rsidRPr="00D06DA9">
        <w:t xml:space="preserve">Pour ses comptes </w:t>
      </w:r>
      <w:r w:rsidRPr="00D06DA9">
        <w:rPr>
          <w:b/>
          <w:bCs/>
        </w:rPr>
        <w:t>consolidés</w:t>
      </w:r>
      <w:r w:rsidRPr="00D06DA9">
        <w:t xml:space="preserve"> </w:t>
      </w:r>
      <w:r w:rsidRPr="00D06DA9">
        <w:rPr>
          <w:rFonts w:ascii="Arial" w:hAnsi="Arial" w:cs="Arial"/>
        </w:rPr>
        <w:t>→</w:t>
      </w:r>
      <w:r w:rsidRPr="00D06DA9">
        <w:t xml:space="preserve"> IFRS obligatoires (r</w:t>
      </w:r>
      <w:r w:rsidRPr="00D06DA9">
        <w:rPr>
          <w:rFonts w:cs="Verdana"/>
        </w:rPr>
        <w:t>è</w:t>
      </w:r>
      <w:r w:rsidRPr="00D06DA9">
        <w:t>glement UE 2005).</w:t>
      </w:r>
    </w:p>
    <w:p w14:paraId="3A2B4C20" w14:textId="77777777" w:rsidR="00D06DA9" w:rsidRPr="00D06DA9" w:rsidRDefault="00D06DA9" w:rsidP="00D06DA9">
      <w:pPr>
        <w:pStyle w:val="Titre2"/>
        <w:spacing w:before="0" w:after="0"/>
      </w:pPr>
      <w:r w:rsidRPr="00D06DA9">
        <w:t>7) Points d’attention</w:t>
      </w:r>
    </w:p>
    <w:p w14:paraId="2A143B2C" w14:textId="77777777" w:rsidR="00D06DA9" w:rsidRPr="00D06DA9" w:rsidRDefault="00D06DA9" w:rsidP="00D06DA9">
      <w:pPr>
        <w:numPr>
          <w:ilvl w:val="0"/>
          <w:numId w:val="226"/>
        </w:numPr>
        <w:spacing w:after="0"/>
      </w:pPr>
      <w:r w:rsidRPr="00D06DA9">
        <w:t xml:space="preserve">La hiérarchie assure une </w:t>
      </w:r>
      <w:r w:rsidRPr="00D06DA9">
        <w:rPr>
          <w:b/>
          <w:bCs/>
        </w:rPr>
        <w:t>compatibilité ascendante</w:t>
      </w:r>
      <w:r w:rsidRPr="00D06DA9">
        <w:t xml:space="preserve"> (national </w:t>
      </w:r>
      <w:r w:rsidRPr="00D06DA9">
        <w:rPr>
          <w:rFonts w:ascii="Arial" w:hAnsi="Arial" w:cs="Arial"/>
        </w:rPr>
        <w:t>→</w:t>
      </w:r>
      <w:r w:rsidRPr="00D06DA9">
        <w:t xml:space="preserve"> europ</w:t>
      </w:r>
      <w:r w:rsidRPr="00D06DA9">
        <w:rPr>
          <w:rFonts w:cs="Verdana"/>
        </w:rPr>
        <w:t>é</w:t>
      </w:r>
      <w:r w:rsidRPr="00D06DA9">
        <w:t xml:space="preserve">en </w:t>
      </w:r>
      <w:r w:rsidRPr="00D06DA9">
        <w:rPr>
          <w:rFonts w:ascii="Arial" w:hAnsi="Arial" w:cs="Arial"/>
        </w:rPr>
        <w:t>→</w:t>
      </w:r>
      <w:r w:rsidRPr="00D06DA9">
        <w:t xml:space="preserve"> international).</w:t>
      </w:r>
    </w:p>
    <w:p w14:paraId="652ECEC4" w14:textId="77777777" w:rsidR="00D06DA9" w:rsidRPr="00D06DA9" w:rsidRDefault="00D06DA9" w:rsidP="00D06DA9">
      <w:pPr>
        <w:numPr>
          <w:ilvl w:val="0"/>
          <w:numId w:val="226"/>
        </w:numPr>
        <w:spacing w:after="0"/>
      </w:pPr>
      <w:r w:rsidRPr="00D06DA9">
        <w:t xml:space="preserve">Le </w:t>
      </w:r>
      <w:r w:rsidRPr="00D06DA9">
        <w:rPr>
          <w:b/>
          <w:bCs/>
        </w:rPr>
        <w:t>PCG 2025</w:t>
      </w:r>
      <w:r w:rsidRPr="00D06DA9">
        <w:t xml:space="preserve"> reste la référence obligatoire pour les comptes sociaux.</w:t>
      </w:r>
    </w:p>
    <w:p w14:paraId="4FBF0F7E" w14:textId="77777777" w:rsidR="00D06DA9" w:rsidRPr="00D06DA9" w:rsidRDefault="00D06DA9" w:rsidP="00D06DA9">
      <w:pPr>
        <w:numPr>
          <w:ilvl w:val="0"/>
          <w:numId w:val="226"/>
        </w:numPr>
        <w:spacing w:after="0"/>
      </w:pPr>
      <w:r w:rsidRPr="00D06DA9">
        <w:t xml:space="preserve">Les </w:t>
      </w:r>
      <w:r w:rsidRPr="00D06DA9">
        <w:rPr>
          <w:b/>
          <w:bCs/>
        </w:rPr>
        <w:t>IFRS</w:t>
      </w:r>
      <w:r w:rsidRPr="00D06DA9">
        <w:t xml:space="preserve"> s’imposent pour la comparabilité mondiale.</w:t>
      </w:r>
    </w:p>
    <w:p w14:paraId="254895D2" w14:textId="4455E74C" w:rsidR="009A110D" w:rsidRPr="00D06DA9" w:rsidRDefault="009A110D" w:rsidP="00D06DA9">
      <w:pPr>
        <w:spacing w:after="0"/>
      </w:pPr>
    </w:p>
    <w:sectPr w:rsidR="009A110D" w:rsidRPr="00D06DA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ECA7" w14:textId="77777777" w:rsidR="00635F20" w:rsidRDefault="00635F20" w:rsidP="00F717A1">
      <w:r>
        <w:separator/>
      </w:r>
    </w:p>
  </w:endnote>
  <w:endnote w:type="continuationSeparator" w:id="0">
    <w:p w14:paraId="36022689" w14:textId="77777777" w:rsidR="00635F20" w:rsidRDefault="00635F20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0E0F" w14:textId="77777777" w:rsidR="00635F20" w:rsidRDefault="00635F20" w:rsidP="00F717A1">
      <w:r>
        <w:separator/>
      </w:r>
    </w:p>
  </w:footnote>
  <w:footnote w:type="continuationSeparator" w:id="0">
    <w:p w14:paraId="49ABD73B" w14:textId="77777777" w:rsidR="00635F20" w:rsidRDefault="00635F20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93"/>
  </w:num>
  <w:num w:numId="2" w16cid:durableId="1969772821">
    <w:abstractNumId w:val="65"/>
  </w:num>
  <w:num w:numId="3" w16cid:durableId="993755049">
    <w:abstractNumId w:val="141"/>
  </w:num>
  <w:num w:numId="4" w16cid:durableId="586116025">
    <w:abstractNumId w:val="194"/>
  </w:num>
  <w:num w:numId="5" w16cid:durableId="1702245743">
    <w:abstractNumId w:val="202"/>
  </w:num>
  <w:num w:numId="6" w16cid:durableId="1128276001">
    <w:abstractNumId w:val="105"/>
  </w:num>
  <w:num w:numId="7" w16cid:durableId="299381959">
    <w:abstractNumId w:val="123"/>
  </w:num>
  <w:num w:numId="8" w16cid:durableId="743184661">
    <w:abstractNumId w:val="201"/>
  </w:num>
  <w:num w:numId="9" w16cid:durableId="1202087570">
    <w:abstractNumId w:val="216"/>
  </w:num>
  <w:num w:numId="10" w16cid:durableId="1028410972">
    <w:abstractNumId w:val="106"/>
  </w:num>
  <w:num w:numId="11" w16cid:durableId="210462333">
    <w:abstractNumId w:val="77"/>
  </w:num>
  <w:num w:numId="12" w16cid:durableId="2095080098">
    <w:abstractNumId w:val="67"/>
  </w:num>
  <w:num w:numId="13" w16cid:durableId="1395931051">
    <w:abstractNumId w:val="46"/>
  </w:num>
  <w:num w:numId="14" w16cid:durableId="1108617728">
    <w:abstractNumId w:val="140"/>
  </w:num>
  <w:num w:numId="15" w16cid:durableId="951476451">
    <w:abstractNumId w:val="59"/>
  </w:num>
  <w:num w:numId="16" w16cid:durableId="1267739148">
    <w:abstractNumId w:val="90"/>
  </w:num>
  <w:num w:numId="17" w16cid:durableId="1181970123">
    <w:abstractNumId w:val="113"/>
  </w:num>
  <w:num w:numId="18" w16cid:durableId="451361762">
    <w:abstractNumId w:val="110"/>
  </w:num>
  <w:num w:numId="19" w16cid:durableId="1719695523">
    <w:abstractNumId w:val="172"/>
  </w:num>
  <w:num w:numId="20" w16cid:durableId="1708723590">
    <w:abstractNumId w:val="190"/>
  </w:num>
  <w:num w:numId="21" w16cid:durableId="362706822">
    <w:abstractNumId w:val="9"/>
  </w:num>
  <w:num w:numId="22" w16cid:durableId="429470193">
    <w:abstractNumId w:val="221"/>
  </w:num>
  <w:num w:numId="23" w16cid:durableId="1301614841">
    <w:abstractNumId w:val="69"/>
  </w:num>
  <w:num w:numId="24" w16cid:durableId="555823789">
    <w:abstractNumId w:val="129"/>
  </w:num>
  <w:num w:numId="25" w16cid:durableId="1808740245">
    <w:abstractNumId w:val="178"/>
  </w:num>
  <w:num w:numId="26" w16cid:durableId="905334348">
    <w:abstractNumId w:val="131"/>
  </w:num>
  <w:num w:numId="27" w16cid:durableId="1762139636">
    <w:abstractNumId w:val="220"/>
  </w:num>
  <w:num w:numId="28" w16cid:durableId="623661194">
    <w:abstractNumId w:val="159"/>
  </w:num>
  <w:num w:numId="29" w16cid:durableId="1080519049">
    <w:abstractNumId w:val="207"/>
  </w:num>
  <w:num w:numId="30" w16cid:durableId="1764302913">
    <w:abstractNumId w:val="0"/>
  </w:num>
  <w:num w:numId="31" w16cid:durableId="265162533">
    <w:abstractNumId w:val="78"/>
  </w:num>
  <w:num w:numId="32" w16cid:durableId="1980257717">
    <w:abstractNumId w:val="1"/>
  </w:num>
  <w:num w:numId="33" w16cid:durableId="176776402">
    <w:abstractNumId w:val="213"/>
  </w:num>
  <w:num w:numId="34" w16cid:durableId="1466654264">
    <w:abstractNumId w:val="33"/>
  </w:num>
  <w:num w:numId="35" w16cid:durableId="1989239436">
    <w:abstractNumId w:val="116"/>
  </w:num>
  <w:num w:numId="36" w16cid:durableId="848104552">
    <w:abstractNumId w:val="83"/>
  </w:num>
  <w:num w:numId="37" w16cid:durableId="1857960856">
    <w:abstractNumId w:val="25"/>
  </w:num>
  <w:num w:numId="38" w16cid:durableId="435444936">
    <w:abstractNumId w:val="219"/>
  </w:num>
  <w:num w:numId="39" w16cid:durableId="1903324043">
    <w:abstractNumId w:val="44"/>
  </w:num>
  <w:num w:numId="40" w16cid:durableId="246352112">
    <w:abstractNumId w:val="20"/>
  </w:num>
  <w:num w:numId="41" w16cid:durableId="1024359036">
    <w:abstractNumId w:val="76"/>
  </w:num>
  <w:num w:numId="42" w16cid:durableId="1298218601">
    <w:abstractNumId w:val="111"/>
  </w:num>
  <w:num w:numId="43" w16cid:durableId="234169730">
    <w:abstractNumId w:val="16"/>
  </w:num>
  <w:num w:numId="44" w16cid:durableId="693383009">
    <w:abstractNumId w:val="61"/>
  </w:num>
  <w:num w:numId="45" w16cid:durableId="1686591168">
    <w:abstractNumId w:val="152"/>
  </w:num>
  <w:num w:numId="46" w16cid:durableId="1924727275">
    <w:abstractNumId w:val="144"/>
  </w:num>
  <w:num w:numId="47" w16cid:durableId="218908341">
    <w:abstractNumId w:val="137"/>
  </w:num>
  <w:num w:numId="48" w16cid:durableId="1416515728">
    <w:abstractNumId w:val="154"/>
  </w:num>
  <w:num w:numId="49" w16cid:durableId="1126894720">
    <w:abstractNumId w:val="212"/>
  </w:num>
  <w:num w:numId="50" w16cid:durableId="121045156">
    <w:abstractNumId w:val="125"/>
  </w:num>
  <w:num w:numId="51" w16cid:durableId="1561289923">
    <w:abstractNumId w:val="117"/>
  </w:num>
  <w:num w:numId="52" w16cid:durableId="1769306741">
    <w:abstractNumId w:val="164"/>
  </w:num>
  <w:num w:numId="53" w16cid:durableId="76485141">
    <w:abstractNumId w:val="41"/>
  </w:num>
  <w:num w:numId="54" w16cid:durableId="769201495">
    <w:abstractNumId w:val="146"/>
  </w:num>
  <w:num w:numId="55" w16cid:durableId="1315833412">
    <w:abstractNumId w:val="143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57"/>
  </w:num>
  <w:num w:numId="59" w16cid:durableId="706102380">
    <w:abstractNumId w:val="205"/>
  </w:num>
  <w:num w:numId="60" w16cid:durableId="762652933">
    <w:abstractNumId w:val="47"/>
  </w:num>
  <w:num w:numId="61" w16cid:durableId="1980070124">
    <w:abstractNumId w:val="195"/>
  </w:num>
  <w:num w:numId="62" w16cid:durableId="1751384401">
    <w:abstractNumId w:val="169"/>
  </w:num>
  <w:num w:numId="63" w16cid:durableId="888758772">
    <w:abstractNumId w:val="64"/>
  </w:num>
  <w:num w:numId="64" w16cid:durableId="1428504556">
    <w:abstractNumId w:val="12"/>
  </w:num>
  <w:num w:numId="65" w16cid:durableId="1368019865">
    <w:abstractNumId w:val="223"/>
  </w:num>
  <w:num w:numId="66" w16cid:durableId="1997103089">
    <w:abstractNumId w:val="191"/>
  </w:num>
  <w:num w:numId="67" w16cid:durableId="999576817">
    <w:abstractNumId w:val="214"/>
  </w:num>
  <w:num w:numId="68" w16cid:durableId="1120220483">
    <w:abstractNumId w:val="217"/>
  </w:num>
  <w:num w:numId="69" w16cid:durableId="1251962254">
    <w:abstractNumId w:val="8"/>
  </w:num>
  <w:num w:numId="70" w16cid:durableId="1279601433">
    <w:abstractNumId w:val="112"/>
  </w:num>
  <w:num w:numId="71" w16cid:durableId="1467965383">
    <w:abstractNumId w:val="37"/>
  </w:num>
  <w:num w:numId="72" w16cid:durableId="825433357">
    <w:abstractNumId w:val="31"/>
  </w:num>
  <w:num w:numId="73" w16cid:durableId="1998805076">
    <w:abstractNumId w:val="51"/>
  </w:num>
  <w:num w:numId="74" w16cid:durableId="709107061">
    <w:abstractNumId w:val="36"/>
  </w:num>
  <w:num w:numId="75" w16cid:durableId="1231696408">
    <w:abstractNumId w:val="151"/>
  </w:num>
  <w:num w:numId="76" w16cid:durableId="722605870">
    <w:abstractNumId w:val="97"/>
  </w:num>
  <w:num w:numId="77" w16cid:durableId="129324489">
    <w:abstractNumId w:val="186"/>
  </w:num>
  <w:num w:numId="78" w16cid:durableId="983044799">
    <w:abstractNumId w:val="142"/>
  </w:num>
  <w:num w:numId="79" w16cid:durableId="1135030876">
    <w:abstractNumId w:val="10"/>
  </w:num>
  <w:num w:numId="80" w16cid:durableId="193005106">
    <w:abstractNumId w:val="104"/>
  </w:num>
  <w:num w:numId="81" w16cid:durableId="1651210118">
    <w:abstractNumId w:val="188"/>
  </w:num>
  <w:num w:numId="82" w16cid:durableId="1644046001">
    <w:abstractNumId w:val="82"/>
  </w:num>
  <w:num w:numId="83" w16cid:durableId="1825584539">
    <w:abstractNumId w:val="5"/>
  </w:num>
  <w:num w:numId="84" w16cid:durableId="1457600251">
    <w:abstractNumId w:val="126"/>
  </w:num>
  <w:num w:numId="85" w16cid:durableId="796483808">
    <w:abstractNumId w:val="130"/>
  </w:num>
  <w:num w:numId="86" w16cid:durableId="677079084">
    <w:abstractNumId w:val="94"/>
  </w:num>
  <w:num w:numId="87" w16cid:durableId="1717895316">
    <w:abstractNumId w:val="101"/>
  </w:num>
  <w:num w:numId="88" w16cid:durableId="1381586366">
    <w:abstractNumId w:val="160"/>
  </w:num>
  <w:num w:numId="89" w16cid:durableId="726415045">
    <w:abstractNumId w:val="48"/>
  </w:num>
  <w:num w:numId="90" w16cid:durableId="134374695">
    <w:abstractNumId w:val="161"/>
  </w:num>
  <w:num w:numId="91" w16cid:durableId="1333605177">
    <w:abstractNumId w:val="176"/>
  </w:num>
  <w:num w:numId="92" w16cid:durableId="707990345">
    <w:abstractNumId w:val="95"/>
  </w:num>
  <w:num w:numId="93" w16cid:durableId="1424061098">
    <w:abstractNumId w:val="22"/>
  </w:num>
  <w:num w:numId="94" w16cid:durableId="1238593463">
    <w:abstractNumId w:val="109"/>
  </w:num>
  <w:num w:numId="95" w16cid:durableId="474218565">
    <w:abstractNumId w:val="38"/>
  </w:num>
  <w:num w:numId="96" w16cid:durableId="1305157866">
    <w:abstractNumId w:val="15"/>
  </w:num>
  <w:num w:numId="97" w16cid:durableId="503668382">
    <w:abstractNumId w:val="166"/>
  </w:num>
  <w:num w:numId="98" w16cid:durableId="141898825">
    <w:abstractNumId w:val="74"/>
  </w:num>
  <w:num w:numId="99" w16cid:durableId="322399246">
    <w:abstractNumId w:val="17"/>
  </w:num>
  <w:num w:numId="100" w16cid:durableId="1519343566">
    <w:abstractNumId w:val="28"/>
  </w:num>
  <w:num w:numId="101" w16cid:durableId="1724324996">
    <w:abstractNumId w:val="87"/>
  </w:num>
  <w:num w:numId="102" w16cid:durableId="1758553305">
    <w:abstractNumId w:val="88"/>
  </w:num>
  <w:num w:numId="103" w16cid:durableId="1085539426">
    <w:abstractNumId w:val="72"/>
  </w:num>
  <w:num w:numId="104" w16cid:durableId="1402362524">
    <w:abstractNumId w:val="183"/>
  </w:num>
  <w:num w:numId="105" w16cid:durableId="83691757">
    <w:abstractNumId w:val="163"/>
  </w:num>
  <w:num w:numId="106" w16cid:durableId="1198078696">
    <w:abstractNumId w:val="45"/>
  </w:num>
  <w:num w:numId="107" w16cid:durableId="1240169118">
    <w:abstractNumId w:val="27"/>
  </w:num>
  <w:num w:numId="108" w16cid:durableId="187839146">
    <w:abstractNumId w:val="89"/>
  </w:num>
  <w:num w:numId="109" w16cid:durableId="139004657">
    <w:abstractNumId w:val="179"/>
  </w:num>
  <w:num w:numId="110" w16cid:durableId="835002621">
    <w:abstractNumId w:val="196"/>
  </w:num>
  <w:num w:numId="111" w16cid:durableId="146362569">
    <w:abstractNumId w:val="99"/>
  </w:num>
  <w:num w:numId="112" w16cid:durableId="1851218359">
    <w:abstractNumId w:val="192"/>
  </w:num>
  <w:num w:numId="113" w16cid:durableId="1189637771">
    <w:abstractNumId w:val="6"/>
  </w:num>
  <w:num w:numId="114" w16cid:durableId="1268536209">
    <w:abstractNumId w:val="71"/>
  </w:num>
  <w:num w:numId="115" w16cid:durableId="603001856">
    <w:abstractNumId w:val="81"/>
  </w:num>
  <w:num w:numId="116" w16cid:durableId="41905772">
    <w:abstractNumId w:val="13"/>
  </w:num>
  <w:num w:numId="117" w16cid:durableId="935871616">
    <w:abstractNumId w:val="40"/>
  </w:num>
  <w:num w:numId="118" w16cid:durableId="1768841013">
    <w:abstractNumId w:val="80"/>
  </w:num>
  <w:num w:numId="119" w16cid:durableId="900410431">
    <w:abstractNumId w:val="98"/>
  </w:num>
  <w:num w:numId="120" w16cid:durableId="315885655">
    <w:abstractNumId w:val="53"/>
  </w:num>
  <w:num w:numId="121" w16cid:durableId="1814448626">
    <w:abstractNumId w:val="60"/>
  </w:num>
  <w:num w:numId="122" w16cid:durableId="1097486741">
    <w:abstractNumId w:val="224"/>
  </w:num>
  <w:num w:numId="123" w16cid:durableId="1956865228">
    <w:abstractNumId w:val="4"/>
  </w:num>
  <w:num w:numId="124" w16cid:durableId="1276867340">
    <w:abstractNumId w:val="100"/>
  </w:num>
  <w:num w:numId="125" w16cid:durableId="1608587397">
    <w:abstractNumId w:val="162"/>
  </w:num>
  <w:num w:numId="126" w16cid:durableId="2131439396">
    <w:abstractNumId w:val="165"/>
  </w:num>
  <w:num w:numId="127" w16cid:durableId="1244336791">
    <w:abstractNumId w:val="55"/>
  </w:num>
  <w:num w:numId="128" w16cid:durableId="818154906">
    <w:abstractNumId w:val="167"/>
  </w:num>
  <w:num w:numId="129" w16cid:durableId="1882933843">
    <w:abstractNumId w:val="203"/>
  </w:num>
  <w:num w:numId="130" w16cid:durableId="1056199195">
    <w:abstractNumId w:val="58"/>
  </w:num>
  <w:num w:numId="131" w16cid:durableId="553470426">
    <w:abstractNumId w:val="79"/>
  </w:num>
  <w:num w:numId="132" w16cid:durableId="739669324">
    <w:abstractNumId w:val="181"/>
  </w:num>
  <w:num w:numId="133" w16cid:durableId="1342589866">
    <w:abstractNumId w:val="121"/>
  </w:num>
  <w:num w:numId="134" w16cid:durableId="805589429">
    <w:abstractNumId w:val="198"/>
  </w:num>
  <w:num w:numId="135" w16cid:durableId="1751851846">
    <w:abstractNumId w:val="91"/>
  </w:num>
  <w:num w:numId="136" w16cid:durableId="1035348142">
    <w:abstractNumId w:val="170"/>
  </w:num>
  <w:num w:numId="137" w16cid:durableId="342322650">
    <w:abstractNumId w:val="127"/>
  </w:num>
  <w:num w:numId="138" w16cid:durableId="2021813476">
    <w:abstractNumId w:val="63"/>
  </w:num>
  <w:num w:numId="139" w16cid:durableId="1260796502">
    <w:abstractNumId w:val="128"/>
  </w:num>
  <w:num w:numId="140" w16cid:durableId="211890294">
    <w:abstractNumId w:val="122"/>
  </w:num>
  <w:num w:numId="141" w16cid:durableId="1770925473">
    <w:abstractNumId w:val="158"/>
  </w:num>
  <w:num w:numId="142" w16cid:durableId="192891600">
    <w:abstractNumId w:val="24"/>
  </w:num>
  <w:num w:numId="143" w16cid:durableId="675690864">
    <w:abstractNumId w:val="139"/>
  </w:num>
  <w:num w:numId="144" w16cid:durableId="1495105408">
    <w:abstractNumId w:val="96"/>
  </w:num>
  <w:num w:numId="145" w16cid:durableId="170608313">
    <w:abstractNumId w:val="7"/>
  </w:num>
  <w:num w:numId="146" w16cid:durableId="388725436">
    <w:abstractNumId w:val="185"/>
  </w:num>
  <w:num w:numId="147" w16cid:durableId="1916433450">
    <w:abstractNumId w:val="149"/>
  </w:num>
  <w:num w:numId="148" w16cid:durableId="3675684">
    <w:abstractNumId w:val="115"/>
  </w:num>
  <w:num w:numId="149" w16cid:durableId="1134447677">
    <w:abstractNumId w:val="135"/>
  </w:num>
  <w:num w:numId="150" w16cid:durableId="269163122">
    <w:abstractNumId w:val="124"/>
  </w:num>
  <w:num w:numId="151" w16cid:durableId="596711321">
    <w:abstractNumId w:val="148"/>
  </w:num>
  <w:num w:numId="152" w16cid:durableId="574584926">
    <w:abstractNumId w:val="19"/>
  </w:num>
  <w:num w:numId="153" w16cid:durableId="2109736526">
    <w:abstractNumId w:val="209"/>
  </w:num>
  <w:num w:numId="154" w16cid:durableId="1291741062">
    <w:abstractNumId w:val="225"/>
  </w:num>
  <w:num w:numId="155" w16cid:durableId="1206135565">
    <w:abstractNumId w:val="156"/>
  </w:num>
  <w:num w:numId="156" w16cid:durableId="154761118">
    <w:abstractNumId w:val="120"/>
  </w:num>
  <w:num w:numId="157" w16cid:durableId="6100150">
    <w:abstractNumId w:val="75"/>
  </w:num>
  <w:num w:numId="158" w16cid:durableId="1250579651">
    <w:abstractNumId w:val="85"/>
  </w:num>
  <w:num w:numId="159" w16cid:durableId="356202047">
    <w:abstractNumId w:val="32"/>
  </w:num>
  <w:num w:numId="160" w16cid:durableId="884827526">
    <w:abstractNumId w:val="155"/>
  </w:num>
  <w:num w:numId="161" w16cid:durableId="34549794">
    <w:abstractNumId w:val="54"/>
  </w:num>
  <w:num w:numId="162" w16cid:durableId="1224100997">
    <w:abstractNumId w:val="108"/>
  </w:num>
  <w:num w:numId="163" w16cid:durableId="940256393">
    <w:abstractNumId w:val="168"/>
  </w:num>
  <w:num w:numId="164" w16cid:durableId="1318457270">
    <w:abstractNumId w:val="153"/>
  </w:num>
  <w:num w:numId="165" w16cid:durableId="1415737338">
    <w:abstractNumId w:val="114"/>
  </w:num>
  <w:num w:numId="166" w16cid:durableId="1779907670">
    <w:abstractNumId w:val="43"/>
  </w:num>
  <w:num w:numId="167" w16cid:durableId="1723602264">
    <w:abstractNumId w:val="189"/>
  </w:num>
  <w:num w:numId="168" w16cid:durableId="1451587149">
    <w:abstractNumId w:val="29"/>
  </w:num>
  <w:num w:numId="169" w16cid:durableId="723872476">
    <w:abstractNumId w:val="133"/>
  </w:num>
  <w:num w:numId="170" w16cid:durableId="372077083">
    <w:abstractNumId w:val="150"/>
  </w:num>
  <w:num w:numId="171" w16cid:durableId="62607842">
    <w:abstractNumId w:val="136"/>
  </w:num>
  <w:num w:numId="172" w16cid:durableId="915626482">
    <w:abstractNumId w:val="14"/>
  </w:num>
  <w:num w:numId="173" w16cid:durableId="748817343">
    <w:abstractNumId w:val="182"/>
  </w:num>
  <w:num w:numId="174" w16cid:durableId="1438216128">
    <w:abstractNumId w:val="68"/>
  </w:num>
  <w:num w:numId="175" w16cid:durableId="1443257700">
    <w:abstractNumId w:val="174"/>
  </w:num>
  <w:num w:numId="176" w16cid:durableId="1118377114">
    <w:abstractNumId w:val="30"/>
  </w:num>
  <w:num w:numId="177" w16cid:durableId="353919586">
    <w:abstractNumId w:val="215"/>
  </w:num>
  <w:num w:numId="178" w16cid:durableId="1156804488">
    <w:abstractNumId w:val="50"/>
  </w:num>
  <w:num w:numId="179" w16cid:durableId="10113203">
    <w:abstractNumId w:val="57"/>
  </w:num>
  <w:num w:numId="180" w16cid:durableId="1554924990">
    <w:abstractNumId w:val="84"/>
  </w:num>
  <w:num w:numId="181" w16cid:durableId="776678429">
    <w:abstractNumId w:val="118"/>
  </w:num>
  <w:num w:numId="182" w16cid:durableId="286818004">
    <w:abstractNumId w:val="42"/>
  </w:num>
  <w:num w:numId="183" w16cid:durableId="586352084">
    <w:abstractNumId w:val="177"/>
  </w:num>
  <w:num w:numId="184" w16cid:durableId="94792951">
    <w:abstractNumId w:val="119"/>
  </w:num>
  <w:num w:numId="185" w16cid:durableId="309754411">
    <w:abstractNumId w:val="103"/>
  </w:num>
  <w:num w:numId="186" w16cid:durableId="33771888">
    <w:abstractNumId w:val="56"/>
  </w:num>
  <w:num w:numId="187" w16cid:durableId="687558474">
    <w:abstractNumId w:val="204"/>
  </w:num>
  <w:num w:numId="188" w16cid:durableId="70664397">
    <w:abstractNumId w:val="3"/>
  </w:num>
  <w:num w:numId="189" w16cid:durableId="294680036">
    <w:abstractNumId w:val="218"/>
  </w:num>
  <w:num w:numId="190" w16cid:durableId="1692031726">
    <w:abstractNumId w:val="208"/>
  </w:num>
  <w:num w:numId="191" w16cid:durableId="1066680195">
    <w:abstractNumId w:val="93"/>
  </w:num>
  <w:num w:numId="192" w16cid:durableId="286083286">
    <w:abstractNumId w:val="92"/>
  </w:num>
  <w:num w:numId="193" w16cid:durableId="1120108163">
    <w:abstractNumId w:val="21"/>
  </w:num>
  <w:num w:numId="194" w16cid:durableId="1195267973">
    <w:abstractNumId w:val="102"/>
  </w:num>
  <w:num w:numId="195" w16cid:durableId="235824573">
    <w:abstractNumId w:val="39"/>
  </w:num>
  <w:num w:numId="196" w16cid:durableId="1302736065">
    <w:abstractNumId w:val="147"/>
  </w:num>
  <w:num w:numId="197" w16cid:durableId="1855072565">
    <w:abstractNumId w:val="49"/>
  </w:num>
  <w:num w:numId="198" w16cid:durableId="1005595493">
    <w:abstractNumId w:val="34"/>
  </w:num>
  <w:num w:numId="199" w16cid:durableId="528300868">
    <w:abstractNumId w:val="199"/>
  </w:num>
  <w:num w:numId="200" w16cid:durableId="1263340247">
    <w:abstractNumId w:val="187"/>
  </w:num>
  <w:num w:numId="201" w16cid:durableId="1531724496">
    <w:abstractNumId w:val="26"/>
  </w:num>
  <w:num w:numId="202" w16cid:durableId="696079815">
    <w:abstractNumId w:val="184"/>
  </w:num>
  <w:num w:numId="203" w16cid:durableId="2023429639">
    <w:abstractNumId w:val="210"/>
  </w:num>
  <w:num w:numId="204" w16cid:durableId="502664141">
    <w:abstractNumId w:val="180"/>
  </w:num>
  <w:num w:numId="205" w16cid:durableId="1351180270">
    <w:abstractNumId w:val="171"/>
  </w:num>
  <w:num w:numId="206" w16cid:durableId="2117216071">
    <w:abstractNumId w:val="200"/>
  </w:num>
  <w:num w:numId="207" w16cid:durableId="137118162">
    <w:abstractNumId w:val="35"/>
  </w:num>
  <w:num w:numId="208" w16cid:durableId="555627956">
    <w:abstractNumId w:val="173"/>
  </w:num>
  <w:num w:numId="209" w16cid:durableId="870260547">
    <w:abstractNumId w:val="197"/>
  </w:num>
  <w:num w:numId="210" w16cid:durableId="641469671">
    <w:abstractNumId w:val="222"/>
  </w:num>
  <w:num w:numId="211" w16cid:durableId="1009648051">
    <w:abstractNumId w:val="86"/>
  </w:num>
  <w:num w:numId="212" w16cid:durableId="1470248171">
    <w:abstractNumId w:val="66"/>
  </w:num>
  <w:num w:numId="213" w16cid:durableId="1499346537">
    <w:abstractNumId w:val="175"/>
  </w:num>
  <w:num w:numId="214" w16cid:durableId="1576161106">
    <w:abstractNumId w:val="73"/>
  </w:num>
  <w:num w:numId="215" w16cid:durableId="1450205058">
    <w:abstractNumId w:val="107"/>
  </w:num>
  <w:num w:numId="216" w16cid:durableId="476923835">
    <w:abstractNumId w:val="145"/>
  </w:num>
  <w:num w:numId="217" w16cid:durableId="544752296">
    <w:abstractNumId w:val="23"/>
  </w:num>
  <w:num w:numId="218" w16cid:durableId="265575199">
    <w:abstractNumId w:val="211"/>
  </w:num>
  <w:num w:numId="219" w16cid:durableId="185607054">
    <w:abstractNumId w:val="52"/>
  </w:num>
  <w:num w:numId="220" w16cid:durableId="1829242892">
    <w:abstractNumId w:val="70"/>
  </w:num>
  <w:num w:numId="221" w16cid:durableId="810169422">
    <w:abstractNumId w:val="206"/>
  </w:num>
  <w:num w:numId="222" w16cid:durableId="788283426">
    <w:abstractNumId w:val="134"/>
  </w:num>
  <w:num w:numId="223" w16cid:durableId="367296131">
    <w:abstractNumId w:val="62"/>
  </w:num>
  <w:num w:numId="224" w16cid:durableId="857619959">
    <w:abstractNumId w:val="138"/>
  </w:num>
  <w:num w:numId="225" w16cid:durableId="2026514386">
    <w:abstractNumId w:val="18"/>
  </w:num>
  <w:num w:numId="226" w16cid:durableId="512304355">
    <w:abstractNumId w:val="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B4561"/>
    <w:rsid w:val="005E0DC3"/>
    <w:rsid w:val="00600E05"/>
    <w:rsid w:val="00632C58"/>
    <w:rsid w:val="00635F20"/>
    <w:rsid w:val="006460AB"/>
    <w:rsid w:val="00676C42"/>
    <w:rsid w:val="006B5091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503E9"/>
    <w:rsid w:val="00D9461E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2025-09-26T07:29:00Z</dcterms:created>
  <dcterms:modified xsi:type="dcterms:W3CDTF">2025-09-26T07:29:00Z</dcterms:modified>
</cp:coreProperties>
</file>