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5AE2" w14:textId="77777777" w:rsidR="004B1EE4" w:rsidRPr="004B1EE4" w:rsidRDefault="004B1EE4" w:rsidP="004B1EE4">
      <w:pPr>
        <w:pStyle w:val="Titre1"/>
      </w:pPr>
      <w:r w:rsidRPr="004B1EE4">
        <w:t>FICHE 04 — Le Bilan Financier (PCG 2025)</w:t>
      </w:r>
    </w:p>
    <w:p w14:paraId="4DD66658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1) Définition</w:t>
      </w:r>
    </w:p>
    <w:p w14:paraId="1107BF51" w14:textId="77777777" w:rsidR="004B1EE4" w:rsidRDefault="004B1EE4" w:rsidP="004B1EE4">
      <w:pPr>
        <w:jc w:val="both"/>
      </w:pPr>
      <w:r w:rsidRPr="004B1EE4">
        <w:t xml:space="preserve">Le </w:t>
      </w:r>
      <w:r w:rsidRPr="004B1EE4">
        <w:rPr>
          <w:b/>
          <w:bCs/>
        </w:rPr>
        <w:t>bilan financier</w:t>
      </w:r>
      <w:r w:rsidRPr="004B1EE4">
        <w:t xml:space="preserve"> est une présentation du bilan en fonction de l’</w:t>
      </w:r>
      <w:r w:rsidRPr="004B1EE4">
        <w:rPr>
          <w:b/>
          <w:bCs/>
        </w:rPr>
        <w:t>exigibilité</w:t>
      </w:r>
      <w:r w:rsidRPr="004B1EE4">
        <w:t xml:space="preserve"> des dettes et de la </w:t>
      </w:r>
      <w:r w:rsidRPr="004B1EE4">
        <w:rPr>
          <w:b/>
          <w:bCs/>
        </w:rPr>
        <w:t>disponibilité</w:t>
      </w:r>
      <w:r w:rsidRPr="004B1EE4">
        <w:t xml:space="preserve"> des actifs.</w:t>
      </w:r>
    </w:p>
    <w:p w14:paraId="35211A6E" w14:textId="58D8D246" w:rsidR="004B1EE4" w:rsidRPr="004B1EE4" w:rsidRDefault="004B1EE4" w:rsidP="004B1EE4">
      <w:pPr>
        <w:jc w:val="both"/>
      </w:pPr>
      <w:r w:rsidRPr="004B1EE4">
        <w:t xml:space="preserve">Il vise à analyser la </w:t>
      </w:r>
      <w:r w:rsidRPr="004B1EE4">
        <w:rPr>
          <w:b/>
          <w:bCs/>
        </w:rPr>
        <w:t>liquidité</w:t>
      </w:r>
      <w:r w:rsidRPr="004B1EE4">
        <w:t xml:space="preserve"> (capacité à transformer rapidement l’actif en trésorerie) et la </w:t>
      </w:r>
      <w:r w:rsidRPr="004B1EE4">
        <w:rPr>
          <w:b/>
          <w:bCs/>
        </w:rPr>
        <w:t>solvabilité</w:t>
      </w:r>
      <w:r w:rsidRPr="004B1EE4">
        <w:t xml:space="preserve"> (capacité à faire face aux dettes à CT et LT).</w:t>
      </w:r>
    </w:p>
    <w:p w14:paraId="5D758B93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2) Principes de reclassement</w:t>
      </w:r>
    </w:p>
    <w:p w14:paraId="017861BE" w14:textId="77777777" w:rsidR="004B1EE4" w:rsidRPr="004B1EE4" w:rsidRDefault="004B1EE4" w:rsidP="004B1EE4">
      <w:pPr>
        <w:numPr>
          <w:ilvl w:val="0"/>
          <w:numId w:val="187"/>
        </w:numPr>
        <w:jc w:val="both"/>
      </w:pPr>
      <w:r w:rsidRPr="004B1EE4">
        <w:rPr>
          <w:b/>
          <w:bCs/>
        </w:rPr>
        <w:t>Actifs</w:t>
      </w:r>
      <w:r w:rsidRPr="004B1EE4">
        <w:t xml:space="preserve"> : classés par ordre croissant de liquidité (immobilisations → créances → trésorerie).</w:t>
      </w:r>
    </w:p>
    <w:p w14:paraId="024A799D" w14:textId="77777777" w:rsidR="004B1EE4" w:rsidRPr="004B1EE4" w:rsidRDefault="004B1EE4" w:rsidP="004B1EE4">
      <w:pPr>
        <w:numPr>
          <w:ilvl w:val="0"/>
          <w:numId w:val="187"/>
        </w:numPr>
        <w:jc w:val="both"/>
      </w:pPr>
      <w:r w:rsidRPr="004B1EE4">
        <w:rPr>
          <w:b/>
          <w:bCs/>
        </w:rPr>
        <w:t>Passifs</w:t>
      </w:r>
      <w:r w:rsidRPr="004B1EE4">
        <w:t xml:space="preserve"> : classés par ordre croissant d’exigibilité (capitaux propres → dettes MLT → dettes CT → trésorerie passive).</w:t>
      </w:r>
    </w:p>
    <w:p w14:paraId="7E28295D" w14:textId="77777777" w:rsidR="004B1EE4" w:rsidRPr="004B1EE4" w:rsidRDefault="004B1EE4" w:rsidP="004B1EE4">
      <w:pPr>
        <w:numPr>
          <w:ilvl w:val="0"/>
          <w:numId w:val="187"/>
        </w:numPr>
        <w:jc w:val="both"/>
      </w:pPr>
      <w:r w:rsidRPr="004B1EE4">
        <w:rPr>
          <w:b/>
          <w:bCs/>
        </w:rPr>
        <w:t>Mise à jour PCG 2025</w:t>
      </w:r>
      <w:r w:rsidRPr="004B1EE4">
        <w:t xml:space="preserve"> :</w:t>
      </w:r>
    </w:p>
    <w:p w14:paraId="65C7DC5D" w14:textId="77777777" w:rsidR="004B1EE4" w:rsidRPr="004B1EE4" w:rsidRDefault="004B1EE4" w:rsidP="004B1EE4">
      <w:pPr>
        <w:numPr>
          <w:ilvl w:val="1"/>
          <w:numId w:val="187"/>
        </w:numPr>
        <w:jc w:val="both"/>
      </w:pPr>
      <w:r w:rsidRPr="004B1EE4">
        <w:t xml:space="preserve">Suppression de la rubrique </w:t>
      </w:r>
      <w:r w:rsidRPr="004B1EE4">
        <w:rPr>
          <w:b/>
          <w:bCs/>
        </w:rPr>
        <w:t>transferts de charges</w:t>
      </w:r>
      <w:r w:rsidRPr="004B1EE4">
        <w:t>.</w:t>
      </w:r>
    </w:p>
    <w:p w14:paraId="3F5DCBF4" w14:textId="77777777" w:rsidR="004B1EE4" w:rsidRPr="004B1EE4" w:rsidRDefault="004B1EE4" w:rsidP="004B1EE4">
      <w:pPr>
        <w:numPr>
          <w:ilvl w:val="1"/>
          <w:numId w:val="187"/>
        </w:numPr>
        <w:jc w:val="both"/>
      </w:pPr>
      <w:r w:rsidRPr="004B1EE4">
        <w:t xml:space="preserve">Définition restreinte du </w:t>
      </w:r>
      <w:r w:rsidRPr="004B1EE4">
        <w:rPr>
          <w:b/>
          <w:bCs/>
        </w:rPr>
        <w:t>résultat exceptionnel</w:t>
      </w:r>
      <w:r w:rsidRPr="004B1EE4">
        <w:t xml:space="preserve"> (événement majeur et inhabituel uniquement).</w:t>
      </w:r>
    </w:p>
    <w:p w14:paraId="0C662643" w14:textId="77777777" w:rsidR="004B1EE4" w:rsidRPr="004B1EE4" w:rsidRDefault="004B1EE4" w:rsidP="004B1EE4">
      <w:pPr>
        <w:numPr>
          <w:ilvl w:val="1"/>
          <w:numId w:val="187"/>
        </w:numPr>
        <w:jc w:val="both"/>
      </w:pPr>
      <w:r w:rsidRPr="004B1EE4">
        <w:t xml:space="preserve">Modèles officiels de bilan et de compte de résultat : présentation en </w:t>
      </w:r>
      <w:r w:rsidRPr="004B1EE4">
        <w:rPr>
          <w:b/>
          <w:bCs/>
        </w:rPr>
        <w:t>liste</w:t>
      </w:r>
      <w:r w:rsidRPr="004B1EE4">
        <w:t xml:space="preserve"> ou </w:t>
      </w:r>
      <w:r w:rsidRPr="004B1EE4">
        <w:rPr>
          <w:b/>
          <w:bCs/>
        </w:rPr>
        <w:t>tableau</w:t>
      </w:r>
      <w:r w:rsidRPr="004B1EE4">
        <w:t xml:space="preserve"> ; reclassement N-1 possible uniquement pour l’affichage.</w:t>
      </w:r>
    </w:p>
    <w:p w14:paraId="529C2426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3) Structure du bilan financier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35"/>
        <w:gridCol w:w="5572"/>
      </w:tblGrid>
      <w:tr w:rsidR="004B1EE4" w:rsidRPr="004B1EE4" w14:paraId="21D372E7" w14:textId="77777777" w:rsidTr="004B1EE4">
        <w:tc>
          <w:tcPr>
            <w:tcW w:w="0" w:type="auto"/>
            <w:hideMark/>
          </w:tcPr>
          <w:p w14:paraId="4B23AA48" w14:textId="77777777" w:rsidR="004B1EE4" w:rsidRPr="004B1EE4" w:rsidRDefault="004B1EE4" w:rsidP="004B1EE4">
            <w:pPr>
              <w:spacing w:after="160" w:line="259" w:lineRule="auto"/>
              <w:jc w:val="both"/>
              <w:rPr>
                <w:b/>
                <w:bCs/>
              </w:rPr>
            </w:pPr>
            <w:r w:rsidRPr="004B1EE4">
              <w:rPr>
                <w:b/>
                <w:bCs/>
              </w:rPr>
              <w:t>ACTIF (par liquidité)</w:t>
            </w:r>
          </w:p>
        </w:tc>
        <w:tc>
          <w:tcPr>
            <w:tcW w:w="0" w:type="auto"/>
            <w:hideMark/>
          </w:tcPr>
          <w:p w14:paraId="32487C40" w14:textId="77777777" w:rsidR="004B1EE4" w:rsidRPr="004B1EE4" w:rsidRDefault="004B1EE4" w:rsidP="004B1EE4">
            <w:pPr>
              <w:spacing w:after="160" w:line="259" w:lineRule="auto"/>
              <w:jc w:val="both"/>
              <w:rPr>
                <w:b/>
                <w:bCs/>
              </w:rPr>
            </w:pPr>
            <w:r w:rsidRPr="004B1EE4">
              <w:rPr>
                <w:b/>
                <w:bCs/>
              </w:rPr>
              <w:t>PASSIF (par exigibilité)</w:t>
            </w:r>
          </w:p>
        </w:tc>
      </w:tr>
      <w:tr w:rsidR="004B1EE4" w:rsidRPr="004B1EE4" w14:paraId="2673097A" w14:textId="77777777" w:rsidTr="004B1EE4">
        <w:tc>
          <w:tcPr>
            <w:tcW w:w="0" w:type="auto"/>
            <w:hideMark/>
          </w:tcPr>
          <w:p w14:paraId="47EBBE9E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Immobilisations nettes</w:t>
            </w:r>
          </w:p>
        </w:tc>
        <w:tc>
          <w:tcPr>
            <w:tcW w:w="0" w:type="auto"/>
            <w:hideMark/>
          </w:tcPr>
          <w:p w14:paraId="39FC7DCE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Capitaux propres</w:t>
            </w:r>
          </w:p>
        </w:tc>
      </w:tr>
      <w:tr w:rsidR="004B1EE4" w:rsidRPr="004B1EE4" w14:paraId="3D09DA7C" w14:textId="77777777" w:rsidTr="004B1EE4">
        <w:tc>
          <w:tcPr>
            <w:tcW w:w="0" w:type="auto"/>
            <w:hideMark/>
          </w:tcPr>
          <w:p w14:paraId="263F454B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Créances &gt; 1 an</w:t>
            </w:r>
          </w:p>
        </w:tc>
        <w:tc>
          <w:tcPr>
            <w:tcW w:w="0" w:type="auto"/>
            <w:hideMark/>
          </w:tcPr>
          <w:p w14:paraId="64521C05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Dettes financières &gt; 1 an</w:t>
            </w:r>
          </w:p>
        </w:tc>
      </w:tr>
      <w:tr w:rsidR="004B1EE4" w:rsidRPr="004B1EE4" w14:paraId="08207041" w14:textId="77777777" w:rsidTr="004B1EE4">
        <w:tc>
          <w:tcPr>
            <w:tcW w:w="0" w:type="auto"/>
            <w:hideMark/>
          </w:tcPr>
          <w:p w14:paraId="3E0FABC0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Créances ≤ 1 an</w:t>
            </w:r>
            <w:r w:rsidRPr="004B1EE4">
              <w:t xml:space="preserve"> (clients, autres)</w:t>
            </w:r>
          </w:p>
        </w:tc>
        <w:tc>
          <w:tcPr>
            <w:tcW w:w="0" w:type="auto"/>
            <w:hideMark/>
          </w:tcPr>
          <w:p w14:paraId="7A3CC362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Dettes financières ≤ 1 an</w:t>
            </w:r>
          </w:p>
        </w:tc>
      </w:tr>
      <w:tr w:rsidR="004B1EE4" w:rsidRPr="004B1EE4" w14:paraId="27BD5460" w14:textId="77777777" w:rsidTr="004B1EE4">
        <w:tc>
          <w:tcPr>
            <w:tcW w:w="0" w:type="auto"/>
            <w:hideMark/>
          </w:tcPr>
          <w:p w14:paraId="5F7F2595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Stocks</w:t>
            </w:r>
          </w:p>
        </w:tc>
        <w:tc>
          <w:tcPr>
            <w:tcW w:w="0" w:type="auto"/>
            <w:hideMark/>
          </w:tcPr>
          <w:p w14:paraId="2BD1B945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Dettes d’exploitation (fournisseurs, fiscales, sociales)</w:t>
            </w:r>
          </w:p>
        </w:tc>
      </w:tr>
      <w:tr w:rsidR="004B1EE4" w:rsidRPr="004B1EE4" w14:paraId="6EF429AE" w14:textId="77777777" w:rsidTr="004B1EE4">
        <w:tc>
          <w:tcPr>
            <w:tcW w:w="0" w:type="auto"/>
            <w:hideMark/>
          </w:tcPr>
          <w:p w14:paraId="255AA538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Valeurs mobilières de placement (VMP)</w:t>
            </w:r>
          </w:p>
        </w:tc>
        <w:tc>
          <w:tcPr>
            <w:tcW w:w="0" w:type="auto"/>
            <w:hideMark/>
          </w:tcPr>
          <w:p w14:paraId="21810D9E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Autres dettes CT</w:t>
            </w:r>
          </w:p>
        </w:tc>
      </w:tr>
      <w:tr w:rsidR="004B1EE4" w:rsidRPr="004B1EE4" w14:paraId="40B1B7A1" w14:textId="77777777" w:rsidTr="004B1EE4">
        <w:tc>
          <w:tcPr>
            <w:tcW w:w="0" w:type="auto"/>
            <w:hideMark/>
          </w:tcPr>
          <w:p w14:paraId="27EFFCC3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Disponibilités</w:t>
            </w:r>
          </w:p>
        </w:tc>
        <w:tc>
          <w:tcPr>
            <w:tcW w:w="0" w:type="auto"/>
            <w:hideMark/>
          </w:tcPr>
          <w:p w14:paraId="3CC084C1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Trésorerie passive (découverts, CBC)</w:t>
            </w:r>
          </w:p>
        </w:tc>
      </w:tr>
    </w:tbl>
    <w:p w14:paraId="7E2DDED7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4) Agrégats et formules clés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3069"/>
        <w:gridCol w:w="4254"/>
      </w:tblGrid>
      <w:tr w:rsidR="004B1EE4" w:rsidRPr="004B1EE4" w14:paraId="7D643694" w14:textId="77777777" w:rsidTr="004B1EE4">
        <w:tc>
          <w:tcPr>
            <w:tcW w:w="0" w:type="auto"/>
            <w:hideMark/>
          </w:tcPr>
          <w:p w14:paraId="40CAC73B" w14:textId="77777777" w:rsidR="004B1EE4" w:rsidRPr="004B1EE4" w:rsidRDefault="004B1EE4" w:rsidP="004B1EE4">
            <w:pPr>
              <w:spacing w:after="160" w:line="259" w:lineRule="auto"/>
              <w:jc w:val="both"/>
              <w:rPr>
                <w:b/>
                <w:bCs/>
              </w:rPr>
            </w:pPr>
            <w:r w:rsidRPr="004B1EE4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3E49F647" w14:textId="77777777" w:rsidR="004B1EE4" w:rsidRPr="004B1EE4" w:rsidRDefault="004B1EE4" w:rsidP="004B1EE4">
            <w:pPr>
              <w:spacing w:after="160" w:line="259" w:lineRule="auto"/>
              <w:jc w:val="both"/>
              <w:rPr>
                <w:b/>
                <w:bCs/>
              </w:rPr>
            </w:pPr>
            <w:r w:rsidRPr="004B1EE4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3679E573" w14:textId="77777777" w:rsidR="004B1EE4" w:rsidRPr="004B1EE4" w:rsidRDefault="004B1EE4" w:rsidP="004B1EE4">
            <w:pPr>
              <w:spacing w:after="160" w:line="259" w:lineRule="auto"/>
              <w:jc w:val="both"/>
              <w:rPr>
                <w:b/>
                <w:bCs/>
              </w:rPr>
            </w:pPr>
            <w:r w:rsidRPr="004B1EE4">
              <w:rPr>
                <w:b/>
                <w:bCs/>
              </w:rPr>
              <w:t>Interprétation</w:t>
            </w:r>
          </w:p>
        </w:tc>
      </w:tr>
      <w:tr w:rsidR="004B1EE4" w:rsidRPr="004B1EE4" w14:paraId="3FE77EBA" w14:textId="77777777" w:rsidTr="004B1EE4">
        <w:tc>
          <w:tcPr>
            <w:tcW w:w="0" w:type="auto"/>
            <w:hideMark/>
          </w:tcPr>
          <w:p w14:paraId="088EC8C0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Capacité de remboursement</w:t>
            </w:r>
          </w:p>
        </w:tc>
        <w:tc>
          <w:tcPr>
            <w:tcW w:w="0" w:type="auto"/>
            <w:hideMark/>
          </w:tcPr>
          <w:p w14:paraId="68B82053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Dettes financières nettes / CAF</w:t>
            </w:r>
          </w:p>
        </w:tc>
        <w:tc>
          <w:tcPr>
            <w:tcW w:w="0" w:type="auto"/>
            <w:hideMark/>
          </w:tcPr>
          <w:p w14:paraId="7ABD014A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Seuil critique : &gt; 3 = risque bancaire.</w:t>
            </w:r>
          </w:p>
        </w:tc>
      </w:tr>
      <w:tr w:rsidR="004B1EE4" w:rsidRPr="004B1EE4" w14:paraId="3A42B542" w14:textId="77777777" w:rsidTr="004B1EE4">
        <w:tc>
          <w:tcPr>
            <w:tcW w:w="0" w:type="auto"/>
            <w:hideMark/>
          </w:tcPr>
          <w:p w14:paraId="2EF56F60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Endettement net</w:t>
            </w:r>
          </w:p>
        </w:tc>
        <w:tc>
          <w:tcPr>
            <w:tcW w:w="0" w:type="auto"/>
            <w:hideMark/>
          </w:tcPr>
          <w:p w14:paraId="18BE8C7F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Dettes financières – Trésorerie active</w:t>
            </w:r>
          </w:p>
        </w:tc>
        <w:tc>
          <w:tcPr>
            <w:tcW w:w="0" w:type="auto"/>
            <w:hideMark/>
          </w:tcPr>
          <w:p w14:paraId="612096B6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Niveau réel d’endettement.</w:t>
            </w:r>
          </w:p>
        </w:tc>
      </w:tr>
      <w:tr w:rsidR="004B1EE4" w:rsidRPr="004B1EE4" w14:paraId="3CCA7A7A" w14:textId="77777777" w:rsidTr="004B1EE4">
        <w:tc>
          <w:tcPr>
            <w:tcW w:w="0" w:type="auto"/>
            <w:hideMark/>
          </w:tcPr>
          <w:p w14:paraId="2C308975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Autonomie financière</w:t>
            </w:r>
          </w:p>
        </w:tc>
        <w:tc>
          <w:tcPr>
            <w:tcW w:w="0" w:type="auto"/>
            <w:hideMark/>
          </w:tcPr>
          <w:p w14:paraId="5D16173B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Capitaux propres / Total passif</w:t>
            </w:r>
          </w:p>
        </w:tc>
        <w:tc>
          <w:tcPr>
            <w:tcW w:w="0" w:type="auto"/>
            <w:hideMark/>
          </w:tcPr>
          <w:p w14:paraId="33862872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Seuil recommandé ≥ 20 %.</w:t>
            </w:r>
          </w:p>
        </w:tc>
      </w:tr>
      <w:tr w:rsidR="004B1EE4" w:rsidRPr="004B1EE4" w14:paraId="753EFEA1" w14:textId="77777777" w:rsidTr="004B1EE4">
        <w:tc>
          <w:tcPr>
            <w:tcW w:w="0" w:type="auto"/>
            <w:hideMark/>
          </w:tcPr>
          <w:p w14:paraId="3EC964B9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Liquidité générale</w:t>
            </w:r>
          </w:p>
        </w:tc>
        <w:tc>
          <w:tcPr>
            <w:tcW w:w="0" w:type="auto"/>
            <w:hideMark/>
          </w:tcPr>
          <w:p w14:paraId="4F29F535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Actif circulant / Dettes CT</w:t>
            </w:r>
          </w:p>
        </w:tc>
        <w:tc>
          <w:tcPr>
            <w:tcW w:w="0" w:type="auto"/>
            <w:hideMark/>
          </w:tcPr>
          <w:p w14:paraId="17B0D097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Ratio ≥ 1,2–1,5 souhaitable.</w:t>
            </w:r>
          </w:p>
        </w:tc>
      </w:tr>
      <w:tr w:rsidR="004B1EE4" w:rsidRPr="004B1EE4" w14:paraId="58789F80" w14:textId="77777777" w:rsidTr="004B1EE4">
        <w:tc>
          <w:tcPr>
            <w:tcW w:w="0" w:type="auto"/>
            <w:hideMark/>
          </w:tcPr>
          <w:p w14:paraId="0CBB5529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Liquidité réduite</w:t>
            </w:r>
            <w:r w:rsidRPr="004B1EE4">
              <w:t xml:space="preserve"> (ou « quick ratio »)</w:t>
            </w:r>
          </w:p>
        </w:tc>
        <w:tc>
          <w:tcPr>
            <w:tcW w:w="0" w:type="auto"/>
            <w:hideMark/>
          </w:tcPr>
          <w:p w14:paraId="09BEC450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(Actif circulant – Stocks) / Dettes CT</w:t>
            </w:r>
          </w:p>
        </w:tc>
        <w:tc>
          <w:tcPr>
            <w:tcW w:w="0" w:type="auto"/>
            <w:hideMark/>
          </w:tcPr>
          <w:p w14:paraId="767DF04D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Ratio ≥ 1 indique une bonne couverture sans stocks.</w:t>
            </w:r>
          </w:p>
        </w:tc>
      </w:tr>
      <w:tr w:rsidR="004B1EE4" w:rsidRPr="004B1EE4" w14:paraId="4D8D3947" w14:textId="77777777" w:rsidTr="004B1EE4">
        <w:tc>
          <w:tcPr>
            <w:tcW w:w="0" w:type="auto"/>
            <w:hideMark/>
          </w:tcPr>
          <w:p w14:paraId="268BD023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rPr>
                <w:b/>
                <w:bCs/>
              </w:rPr>
              <w:t>Solvabilité générale</w:t>
            </w:r>
          </w:p>
        </w:tc>
        <w:tc>
          <w:tcPr>
            <w:tcW w:w="0" w:type="auto"/>
            <w:hideMark/>
          </w:tcPr>
          <w:p w14:paraId="5CBC9200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Total actif / Total dettes</w:t>
            </w:r>
          </w:p>
        </w:tc>
        <w:tc>
          <w:tcPr>
            <w:tcW w:w="0" w:type="auto"/>
            <w:hideMark/>
          </w:tcPr>
          <w:p w14:paraId="4939E82F" w14:textId="77777777" w:rsidR="004B1EE4" w:rsidRPr="004B1EE4" w:rsidRDefault="004B1EE4" w:rsidP="004B1EE4">
            <w:pPr>
              <w:spacing w:after="160" w:line="259" w:lineRule="auto"/>
              <w:jc w:val="both"/>
            </w:pPr>
            <w:r w:rsidRPr="004B1EE4">
              <w:t>Doit être &gt; 1.</w:t>
            </w:r>
          </w:p>
        </w:tc>
      </w:tr>
    </w:tbl>
    <w:p w14:paraId="1BCDD290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lastRenderedPageBreak/>
        <w:t>5) Lecture type</w:t>
      </w:r>
    </w:p>
    <w:p w14:paraId="42139DA1" w14:textId="77777777" w:rsidR="004B1EE4" w:rsidRPr="004B1EE4" w:rsidRDefault="004B1EE4" w:rsidP="004B1EE4">
      <w:pPr>
        <w:numPr>
          <w:ilvl w:val="0"/>
          <w:numId w:val="188"/>
        </w:numPr>
        <w:jc w:val="both"/>
      </w:pPr>
      <w:r w:rsidRPr="004B1EE4">
        <w:rPr>
          <w:b/>
          <w:bCs/>
        </w:rPr>
        <w:t>Court terme</w:t>
      </w:r>
      <w:r w:rsidRPr="004B1EE4">
        <w:t xml:space="preserve"> : comparer </w:t>
      </w:r>
      <w:r w:rsidRPr="004B1EE4">
        <w:rPr>
          <w:b/>
          <w:bCs/>
        </w:rPr>
        <w:t>actif circulant</w:t>
      </w:r>
      <w:r w:rsidRPr="004B1EE4">
        <w:t xml:space="preserve"> avec </w:t>
      </w:r>
      <w:r w:rsidRPr="004B1EE4">
        <w:rPr>
          <w:b/>
          <w:bCs/>
        </w:rPr>
        <w:t>dettes CT</w:t>
      </w:r>
      <w:r w:rsidRPr="004B1EE4">
        <w:t>.</w:t>
      </w:r>
    </w:p>
    <w:p w14:paraId="0592EFA0" w14:textId="77777777" w:rsidR="004B1EE4" w:rsidRPr="004B1EE4" w:rsidRDefault="004B1EE4" w:rsidP="004B1EE4">
      <w:pPr>
        <w:numPr>
          <w:ilvl w:val="1"/>
          <w:numId w:val="188"/>
        </w:numPr>
        <w:jc w:val="both"/>
      </w:pPr>
      <w:r w:rsidRPr="004B1EE4">
        <w:t>Actif &gt; dettes → sécurité de trésorerie.</w:t>
      </w:r>
    </w:p>
    <w:p w14:paraId="70FF8133" w14:textId="77777777" w:rsidR="004B1EE4" w:rsidRPr="004B1EE4" w:rsidRDefault="004B1EE4" w:rsidP="004B1EE4">
      <w:pPr>
        <w:numPr>
          <w:ilvl w:val="1"/>
          <w:numId w:val="188"/>
        </w:numPr>
        <w:jc w:val="both"/>
      </w:pPr>
      <w:r w:rsidRPr="004B1EE4">
        <w:t>Actif &lt; dettes → dépendance au refinancement.</w:t>
      </w:r>
    </w:p>
    <w:p w14:paraId="150C6496" w14:textId="77777777" w:rsidR="004B1EE4" w:rsidRPr="004B1EE4" w:rsidRDefault="004B1EE4" w:rsidP="004B1EE4">
      <w:pPr>
        <w:numPr>
          <w:ilvl w:val="0"/>
          <w:numId w:val="188"/>
        </w:numPr>
        <w:jc w:val="both"/>
      </w:pPr>
      <w:r w:rsidRPr="004B1EE4">
        <w:rPr>
          <w:b/>
          <w:bCs/>
        </w:rPr>
        <w:t>Long terme</w:t>
      </w:r>
      <w:r w:rsidRPr="004B1EE4">
        <w:t xml:space="preserve"> : comparer </w:t>
      </w:r>
      <w:r w:rsidRPr="004B1EE4">
        <w:rPr>
          <w:b/>
          <w:bCs/>
        </w:rPr>
        <w:t>capitaux propres</w:t>
      </w:r>
      <w:r w:rsidRPr="004B1EE4">
        <w:t xml:space="preserve"> avec </w:t>
      </w:r>
      <w:r w:rsidRPr="004B1EE4">
        <w:rPr>
          <w:b/>
          <w:bCs/>
        </w:rPr>
        <w:t>dettes financières MLT</w:t>
      </w:r>
      <w:r w:rsidRPr="004B1EE4">
        <w:t>.</w:t>
      </w:r>
    </w:p>
    <w:p w14:paraId="177B8711" w14:textId="77777777" w:rsidR="004B1EE4" w:rsidRPr="004B1EE4" w:rsidRDefault="004B1EE4" w:rsidP="004B1EE4">
      <w:pPr>
        <w:numPr>
          <w:ilvl w:val="1"/>
          <w:numId w:val="188"/>
        </w:numPr>
        <w:jc w:val="both"/>
      </w:pPr>
      <w:r w:rsidRPr="004B1EE4">
        <w:t>CP dominants → solidité financière.</w:t>
      </w:r>
    </w:p>
    <w:p w14:paraId="78F94FF8" w14:textId="77777777" w:rsidR="004B1EE4" w:rsidRPr="004B1EE4" w:rsidRDefault="004B1EE4" w:rsidP="004B1EE4">
      <w:pPr>
        <w:numPr>
          <w:ilvl w:val="1"/>
          <w:numId w:val="188"/>
        </w:numPr>
        <w:jc w:val="both"/>
      </w:pPr>
      <w:r w:rsidRPr="004B1EE4">
        <w:t>Endettement excessif → risque de solvabilité.</w:t>
      </w:r>
    </w:p>
    <w:p w14:paraId="68CDD34E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6) Points pédagogiques</w:t>
      </w:r>
    </w:p>
    <w:p w14:paraId="3B304721" w14:textId="77777777" w:rsidR="004B1EE4" w:rsidRPr="004B1EE4" w:rsidRDefault="004B1EE4" w:rsidP="004B1EE4">
      <w:pPr>
        <w:numPr>
          <w:ilvl w:val="0"/>
          <w:numId w:val="189"/>
        </w:numPr>
        <w:jc w:val="both"/>
      </w:pPr>
      <w:r w:rsidRPr="004B1EE4">
        <w:t xml:space="preserve">Le </w:t>
      </w:r>
      <w:r w:rsidRPr="004B1EE4">
        <w:rPr>
          <w:b/>
          <w:bCs/>
        </w:rPr>
        <w:t>bilan fonctionnel</w:t>
      </w:r>
      <w:r w:rsidRPr="004B1EE4">
        <w:t xml:space="preserve"> (vue financement) et le </w:t>
      </w:r>
      <w:r w:rsidRPr="004B1EE4">
        <w:rPr>
          <w:b/>
          <w:bCs/>
        </w:rPr>
        <w:t>bilan financier</w:t>
      </w:r>
      <w:r w:rsidRPr="004B1EE4">
        <w:t xml:space="preserve"> (vue liquidité/solvabilité) sont </w:t>
      </w:r>
      <w:r w:rsidRPr="004B1EE4">
        <w:rPr>
          <w:b/>
          <w:bCs/>
        </w:rPr>
        <w:t>complémentaires</w:t>
      </w:r>
      <w:r w:rsidRPr="004B1EE4">
        <w:t>.</w:t>
      </w:r>
    </w:p>
    <w:p w14:paraId="46259721" w14:textId="77777777" w:rsidR="004B1EE4" w:rsidRPr="004B1EE4" w:rsidRDefault="004B1EE4" w:rsidP="004B1EE4">
      <w:pPr>
        <w:numPr>
          <w:ilvl w:val="0"/>
          <w:numId w:val="189"/>
        </w:numPr>
        <w:jc w:val="both"/>
      </w:pPr>
      <w:r w:rsidRPr="004B1EE4">
        <w:t xml:space="preserve">Les ratios financiers doivent être </w:t>
      </w:r>
      <w:r w:rsidRPr="004B1EE4">
        <w:rPr>
          <w:b/>
          <w:bCs/>
        </w:rPr>
        <w:t>analysés dans le temps</w:t>
      </w:r>
      <w:r w:rsidRPr="004B1EE4">
        <w:t xml:space="preserve"> (N/N-1/N-2) et par rapport aux </w:t>
      </w:r>
      <w:r w:rsidRPr="004B1EE4">
        <w:rPr>
          <w:b/>
          <w:bCs/>
        </w:rPr>
        <w:t>référentiels sectoriels</w:t>
      </w:r>
      <w:r w:rsidRPr="004B1EE4">
        <w:t>.</w:t>
      </w:r>
    </w:p>
    <w:p w14:paraId="2B23942C" w14:textId="77777777" w:rsidR="004B1EE4" w:rsidRPr="004B1EE4" w:rsidRDefault="004B1EE4" w:rsidP="004B1EE4">
      <w:pPr>
        <w:numPr>
          <w:ilvl w:val="0"/>
          <w:numId w:val="189"/>
        </w:numPr>
        <w:jc w:val="both"/>
      </w:pPr>
      <w:r w:rsidRPr="004B1EE4">
        <w:t xml:space="preserve">Les nouveautés du PCG 2025 imposent une vigilance sur la qualification du </w:t>
      </w:r>
      <w:r w:rsidRPr="004B1EE4">
        <w:rPr>
          <w:b/>
          <w:bCs/>
        </w:rPr>
        <w:t>résultat exceptionnel</w:t>
      </w:r>
      <w:r w:rsidRPr="004B1EE4">
        <w:t xml:space="preserve"> et sur la </w:t>
      </w:r>
      <w:r w:rsidRPr="004B1EE4">
        <w:rPr>
          <w:b/>
          <w:bCs/>
        </w:rPr>
        <w:t>transparence en annexe</w:t>
      </w:r>
      <w:r w:rsidRPr="004B1EE4">
        <w:t xml:space="preserve"> (explication des reclassements et événements majeurs).</w:t>
      </w:r>
    </w:p>
    <w:p w14:paraId="60AC0E8D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7) Exemple simplifié (en k€)</w:t>
      </w:r>
    </w:p>
    <w:p w14:paraId="43B71B41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Actif</w:t>
      </w:r>
    </w:p>
    <w:p w14:paraId="629D52E5" w14:textId="77777777" w:rsidR="004B1EE4" w:rsidRPr="004B1EE4" w:rsidRDefault="004B1EE4" w:rsidP="004B1EE4">
      <w:pPr>
        <w:numPr>
          <w:ilvl w:val="0"/>
          <w:numId w:val="190"/>
        </w:numPr>
        <w:jc w:val="both"/>
      </w:pPr>
      <w:r w:rsidRPr="004B1EE4">
        <w:t>Immobilisations nettes : 1 200</w:t>
      </w:r>
    </w:p>
    <w:p w14:paraId="48820391" w14:textId="77777777" w:rsidR="004B1EE4" w:rsidRPr="004B1EE4" w:rsidRDefault="004B1EE4" w:rsidP="004B1EE4">
      <w:pPr>
        <w:numPr>
          <w:ilvl w:val="0"/>
          <w:numId w:val="190"/>
        </w:numPr>
        <w:jc w:val="both"/>
      </w:pPr>
      <w:r w:rsidRPr="004B1EE4">
        <w:t>Créances &gt; 1 an : 100</w:t>
      </w:r>
    </w:p>
    <w:p w14:paraId="3ECFAC7D" w14:textId="77777777" w:rsidR="004B1EE4" w:rsidRPr="004B1EE4" w:rsidRDefault="004B1EE4" w:rsidP="004B1EE4">
      <w:pPr>
        <w:numPr>
          <w:ilvl w:val="0"/>
          <w:numId w:val="190"/>
        </w:numPr>
        <w:jc w:val="both"/>
      </w:pPr>
      <w:r w:rsidRPr="004B1EE4">
        <w:t>Stocks : 400</w:t>
      </w:r>
    </w:p>
    <w:p w14:paraId="401916F2" w14:textId="77777777" w:rsidR="004B1EE4" w:rsidRPr="004B1EE4" w:rsidRDefault="004B1EE4" w:rsidP="004B1EE4">
      <w:pPr>
        <w:numPr>
          <w:ilvl w:val="0"/>
          <w:numId w:val="190"/>
        </w:numPr>
        <w:jc w:val="both"/>
      </w:pPr>
      <w:r w:rsidRPr="004B1EE4">
        <w:t>Créances clients ≤ 1 an : 550</w:t>
      </w:r>
    </w:p>
    <w:p w14:paraId="3EA8FB35" w14:textId="77777777" w:rsidR="004B1EE4" w:rsidRDefault="004B1EE4" w:rsidP="004B1EE4">
      <w:pPr>
        <w:numPr>
          <w:ilvl w:val="0"/>
          <w:numId w:val="190"/>
        </w:numPr>
        <w:jc w:val="both"/>
      </w:pPr>
      <w:r w:rsidRPr="004B1EE4">
        <w:t>Disponibilités + VMP : 90</w:t>
      </w:r>
    </w:p>
    <w:p w14:paraId="1D920C18" w14:textId="714351E0" w:rsidR="004B1EE4" w:rsidRPr="004B1EE4" w:rsidRDefault="004B1EE4" w:rsidP="004B1EE4">
      <w:pPr>
        <w:numPr>
          <w:ilvl w:val="0"/>
          <w:numId w:val="190"/>
        </w:numPr>
        <w:jc w:val="both"/>
      </w:pPr>
      <w:r w:rsidRPr="004B1EE4">
        <w:rPr>
          <w:b/>
          <w:bCs/>
        </w:rPr>
        <w:t>Total actif = 2 340</w:t>
      </w:r>
    </w:p>
    <w:p w14:paraId="06E6C7D1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Passif</w:t>
      </w:r>
    </w:p>
    <w:p w14:paraId="5E8C6142" w14:textId="77777777" w:rsidR="004B1EE4" w:rsidRPr="004B1EE4" w:rsidRDefault="004B1EE4" w:rsidP="004B1EE4">
      <w:pPr>
        <w:numPr>
          <w:ilvl w:val="0"/>
          <w:numId w:val="191"/>
        </w:numPr>
        <w:jc w:val="both"/>
      </w:pPr>
      <w:r w:rsidRPr="004B1EE4">
        <w:t>Capitaux propres : 900</w:t>
      </w:r>
    </w:p>
    <w:p w14:paraId="4A7C13FE" w14:textId="77777777" w:rsidR="004B1EE4" w:rsidRPr="004B1EE4" w:rsidRDefault="004B1EE4" w:rsidP="004B1EE4">
      <w:pPr>
        <w:numPr>
          <w:ilvl w:val="0"/>
          <w:numId w:val="191"/>
        </w:numPr>
        <w:jc w:val="both"/>
      </w:pPr>
      <w:r w:rsidRPr="004B1EE4">
        <w:t>Dettes financières &gt; 1 an : 500</w:t>
      </w:r>
    </w:p>
    <w:p w14:paraId="1517CA26" w14:textId="77777777" w:rsidR="004B1EE4" w:rsidRPr="004B1EE4" w:rsidRDefault="004B1EE4" w:rsidP="004B1EE4">
      <w:pPr>
        <w:numPr>
          <w:ilvl w:val="0"/>
          <w:numId w:val="191"/>
        </w:numPr>
        <w:jc w:val="both"/>
      </w:pPr>
      <w:r w:rsidRPr="004B1EE4">
        <w:t>Dettes financières ≤ 1 an : 200</w:t>
      </w:r>
    </w:p>
    <w:p w14:paraId="4CB2C33C" w14:textId="77777777" w:rsidR="004B1EE4" w:rsidRPr="004B1EE4" w:rsidRDefault="004B1EE4" w:rsidP="004B1EE4">
      <w:pPr>
        <w:numPr>
          <w:ilvl w:val="0"/>
          <w:numId w:val="191"/>
        </w:numPr>
        <w:jc w:val="both"/>
      </w:pPr>
      <w:r w:rsidRPr="004B1EE4">
        <w:t>Dettes fournisseurs et fiscales/sociales : 540</w:t>
      </w:r>
    </w:p>
    <w:p w14:paraId="3E88D5BD" w14:textId="77777777" w:rsidR="004B1EE4" w:rsidRDefault="004B1EE4" w:rsidP="004B1EE4">
      <w:pPr>
        <w:numPr>
          <w:ilvl w:val="0"/>
          <w:numId w:val="191"/>
        </w:numPr>
        <w:jc w:val="both"/>
      </w:pPr>
      <w:r w:rsidRPr="004B1EE4">
        <w:t>Autres dettes CT + CBC : 200</w:t>
      </w:r>
    </w:p>
    <w:p w14:paraId="00F8ADD1" w14:textId="73B9EB67" w:rsidR="004B1EE4" w:rsidRPr="004B1EE4" w:rsidRDefault="004B1EE4" w:rsidP="004B1EE4">
      <w:pPr>
        <w:numPr>
          <w:ilvl w:val="0"/>
          <w:numId w:val="191"/>
        </w:numPr>
        <w:jc w:val="both"/>
      </w:pPr>
      <w:r w:rsidRPr="004B1EE4">
        <w:rPr>
          <w:b/>
          <w:bCs/>
        </w:rPr>
        <w:t>Total passif = 2 340</w:t>
      </w:r>
    </w:p>
    <w:p w14:paraId="6F9A750E" w14:textId="77777777" w:rsidR="004B1EE4" w:rsidRPr="004B1EE4" w:rsidRDefault="004B1EE4" w:rsidP="004B1EE4">
      <w:pPr>
        <w:jc w:val="both"/>
        <w:rPr>
          <w:b/>
          <w:bCs/>
        </w:rPr>
      </w:pPr>
      <w:r w:rsidRPr="004B1EE4">
        <w:rPr>
          <w:b/>
          <w:bCs/>
        </w:rPr>
        <w:t>8) Interprétation rapide</w:t>
      </w:r>
    </w:p>
    <w:p w14:paraId="13899605" w14:textId="77777777" w:rsidR="004B1EE4" w:rsidRPr="004B1EE4" w:rsidRDefault="004B1EE4" w:rsidP="004B1EE4">
      <w:pPr>
        <w:numPr>
          <w:ilvl w:val="0"/>
          <w:numId w:val="192"/>
        </w:numPr>
        <w:jc w:val="both"/>
      </w:pPr>
      <w:r w:rsidRPr="004B1EE4">
        <w:rPr>
          <w:b/>
          <w:bCs/>
        </w:rPr>
        <w:t>Endettement net = (500 + 200) – 90 = 610 k€</w:t>
      </w:r>
      <w:r w:rsidRPr="004B1EE4">
        <w:t xml:space="preserve"> → assez élevé.</w:t>
      </w:r>
    </w:p>
    <w:p w14:paraId="204D0214" w14:textId="77777777" w:rsidR="004B1EE4" w:rsidRPr="004B1EE4" w:rsidRDefault="004B1EE4" w:rsidP="004B1EE4">
      <w:pPr>
        <w:numPr>
          <w:ilvl w:val="0"/>
          <w:numId w:val="192"/>
        </w:numPr>
        <w:jc w:val="both"/>
      </w:pPr>
      <w:r w:rsidRPr="004B1EE4">
        <w:rPr>
          <w:b/>
          <w:bCs/>
        </w:rPr>
        <w:t>Autonomie financière = 900 / 2 340 ≈ 38 %</w:t>
      </w:r>
      <w:r w:rsidRPr="004B1EE4">
        <w:t xml:space="preserve"> → solide.</w:t>
      </w:r>
    </w:p>
    <w:p w14:paraId="45557EF3" w14:textId="77777777" w:rsidR="004B1EE4" w:rsidRPr="004B1EE4" w:rsidRDefault="004B1EE4" w:rsidP="004B1EE4">
      <w:pPr>
        <w:numPr>
          <w:ilvl w:val="0"/>
          <w:numId w:val="192"/>
        </w:numPr>
        <w:jc w:val="both"/>
      </w:pPr>
      <w:r w:rsidRPr="004B1EE4">
        <w:rPr>
          <w:b/>
          <w:bCs/>
        </w:rPr>
        <w:t>Liquidité générale = (400 + 550 + 90) / (200 + 540 + 200) ≈ 1,33</w:t>
      </w:r>
      <w:r w:rsidRPr="004B1EE4">
        <w:t xml:space="preserve"> → correcte.</w:t>
      </w:r>
    </w:p>
    <w:p w14:paraId="7BF40744" w14:textId="77777777" w:rsidR="004B1EE4" w:rsidRPr="004B1EE4" w:rsidRDefault="004B1EE4" w:rsidP="004B1EE4">
      <w:pPr>
        <w:numPr>
          <w:ilvl w:val="0"/>
          <w:numId w:val="192"/>
        </w:numPr>
        <w:jc w:val="both"/>
      </w:pPr>
      <w:r w:rsidRPr="004B1EE4">
        <w:rPr>
          <w:b/>
          <w:bCs/>
        </w:rPr>
        <w:t>Liquidité réduite = (550 + 90) / 940 ≈ 0,68</w:t>
      </w:r>
      <w:r w:rsidRPr="004B1EE4">
        <w:t xml:space="preserve"> → dépendance aux stocks pour l’équilibre.</w:t>
      </w:r>
    </w:p>
    <w:sectPr w:rsidR="004B1EE4" w:rsidRPr="004B1EE4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A2FD" w14:textId="77777777" w:rsidR="00882CAA" w:rsidRDefault="00882CAA" w:rsidP="00580F46">
      <w:pPr>
        <w:spacing w:after="0" w:line="240" w:lineRule="auto"/>
      </w:pPr>
      <w:r>
        <w:separator/>
      </w:r>
    </w:p>
  </w:endnote>
  <w:endnote w:type="continuationSeparator" w:id="0">
    <w:p w14:paraId="32136539" w14:textId="77777777" w:rsidR="00882CAA" w:rsidRDefault="00882CAA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CCA3" w14:textId="77777777" w:rsidR="00882CAA" w:rsidRDefault="00882CAA" w:rsidP="00580F46">
      <w:pPr>
        <w:spacing w:after="0" w:line="240" w:lineRule="auto"/>
      </w:pPr>
      <w:r>
        <w:separator/>
      </w:r>
    </w:p>
  </w:footnote>
  <w:footnote w:type="continuationSeparator" w:id="0">
    <w:p w14:paraId="3946DC96" w14:textId="77777777" w:rsidR="00882CAA" w:rsidRDefault="00882CAA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7"/>
  </w:num>
  <w:num w:numId="2" w16cid:durableId="1969772821">
    <w:abstractNumId w:val="54"/>
  </w:num>
  <w:num w:numId="3" w16cid:durableId="993755049">
    <w:abstractNumId w:val="117"/>
  </w:num>
  <w:num w:numId="4" w16cid:durableId="586116025">
    <w:abstractNumId w:val="168"/>
  </w:num>
  <w:num w:numId="5" w16cid:durableId="1702245743">
    <w:abstractNumId w:val="174"/>
  </w:num>
  <w:num w:numId="6" w16cid:durableId="1128276001">
    <w:abstractNumId w:val="86"/>
  </w:num>
  <w:num w:numId="7" w16cid:durableId="299381959">
    <w:abstractNumId w:val="101"/>
  </w:num>
  <w:num w:numId="8" w16cid:durableId="743184661">
    <w:abstractNumId w:val="173"/>
  </w:num>
  <w:num w:numId="9" w16cid:durableId="1202087570">
    <w:abstractNumId w:val="184"/>
  </w:num>
  <w:num w:numId="10" w16cid:durableId="1028410972">
    <w:abstractNumId w:val="87"/>
  </w:num>
  <w:num w:numId="11" w16cid:durableId="210462333">
    <w:abstractNumId w:val="63"/>
  </w:num>
  <w:num w:numId="12" w16cid:durableId="2095080098">
    <w:abstractNumId w:val="55"/>
  </w:num>
  <w:num w:numId="13" w16cid:durableId="1395931051">
    <w:abstractNumId w:val="40"/>
  </w:num>
  <w:num w:numId="14" w16cid:durableId="1108617728">
    <w:abstractNumId w:val="116"/>
  </w:num>
  <w:num w:numId="15" w16cid:durableId="951476451">
    <w:abstractNumId w:val="49"/>
  </w:num>
  <w:num w:numId="16" w16cid:durableId="1267739148">
    <w:abstractNumId w:val="75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8"/>
  </w:num>
  <w:num w:numId="20" w16cid:durableId="1708723590">
    <w:abstractNumId w:val="161"/>
  </w:num>
  <w:num w:numId="21" w16cid:durableId="362706822">
    <w:abstractNumId w:val="8"/>
  </w:num>
  <w:num w:numId="22" w16cid:durableId="429470193">
    <w:abstractNumId w:val="188"/>
  </w:num>
  <w:num w:numId="23" w16cid:durableId="1301614841">
    <w:abstractNumId w:val="56"/>
  </w:num>
  <w:num w:numId="24" w16cid:durableId="555823789">
    <w:abstractNumId w:val="108"/>
  </w:num>
  <w:num w:numId="25" w16cid:durableId="1808740245">
    <w:abstractNumId w:val="151"/>
  </w:num>
  <w:num w:numId="26" w16cid:durableId="905334348">
    <w:abstractNumId w:val="110"/>
  </w:num>
  <w:num w:numId="27" w16cid:durableId="1762139636">
    <w:abstractNumId w:val="187"/>
  </w:num>
  <w:num w:numId="28" w16cid:durableId="623661194">
    <w:abstractNumId w:val="134"/>
  </w:num>
  <w:num w:numId="29" w16cid:durableId="1080519049">
    <w:abstractNumId w:val="178"/>
  </w:num>
  <w:num w:numId="30" w16cid:durableId="1764302913">
    <w:abstractNumId w:val="0"/>
  </w:num>
  <w:num w:numId="31" w16cid:durableId="265162533">
    <w:abstractNumId w:val="64"/>
  </w:num>
  <w:num w:numId="32" w16cid:durableId="1980257717">
    <w:abstractNumId w:val="1"/>
  </w:num>
  <w:num w:numId="33" w16cid:durableId="176776402">
    <w:abstractNumId w:val="182"/>
  </w:num>
  <w:num w:numId="34" w16cid:durableId="1466654264">
    <w:abstractNumId w:val="30"/>
  </w:num>
  <w:num w:numId="35" w16cid:durableId="1989239436">
    <w:abstractNumId w:val="96"/>
  </w:num>
  <w:num w:numId="36" w16cid:durableId="848104552">
    <w:abstractNumId w:val="70"/>
  </w:num>
  <w:num w:numId="37" w16cid:durableId="1857960856">
    <w:abstractNumId w:val="24"/>
  </w:num>
  <w:num w:numId="38" w16cid:durableId="435444936">
    <w:abstractNumId w:val="186"/>
  </w:num>
  <w:num w:numId="39" w16cid:durableId="1903324043">
    <w:abstractNumId w:val="38"/>
  </w:num>
  <w:num w:numId="40" w16cid:durableId="246352112">
    <w:abstractNumId w:val="20"/>
  </w:num>
  <w:num w:numId="41" w16cid:durableId="1024359036">
    <w:abstractNumId w:val="62"/>
  </w:num>
  <w:num w:numId="42" w16cid:durableId="1298218601">
    <w:abstractNumId w:val="91"/>
  </w:num>
  <w:num w:numId="43" w16cid:durableId="234169730">
    <w:abstractNumId w:val="15"/>
  </w:num>
  <w:num w:numId="44" w16cid:durableId="693383009">
    <w:abstractNumId w:val="51"/>
  </w:num>
  <w:num w:numId="45" w16cid:durableId="1686591168">
    <w:abstractNumId w:val="127"/>
  </w:num>
  <w:num w:numId="46" w16cid:durableId="1924727275">
    <w:abstractNumId w:val="120"/>
  </w:num>
  <w:num w:numId="47" w16cid:durableId="218908341">
    <w:abstractNumId w:val="114"/>
  </w:num>
  <w:num w:numId="48" w16cid:durableId="1416515728">
    <w:abstractNumId w:val="129"/>
  </w:num>
  <w:num w:numId="49" w16cid:durableId="1126894720">
    <w:abstractNumId w:val="180"/>
  </w:num>
  <w:num w:numId="50" w16cid:durableId="121045156">
    <w:abstractNumId w:val="104"/>
  </w:num>
  <w:num w:numId="51" w16cid:durableId="1561289923">
    <w:abstractNumId w:val="97"/>
  </w:num>
  <w:num w:numId="52" w16cid:durableId="1769306741">
    <w:abstractNumId w:val="139"/>
  </w:num>
  <w:num w:numId="53" w16cid:durableId="76485141">
    <w:abstractNumId w:val="35"/>
  </w:num>
  <w:num w:numId="54" w16cid:durableId="769201495">
    <w:abstractNumId w:val="121"/>
  </w:num>
  <w:num w:numId="55" w16cid:durableId="1315833412">
    <w:abstractNumId w:val="119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76"/>
  </w:num>
  <w:num w:numId="60" w16cid:durableId="762652933">
    <w:abstractNumId w:val="41"/>
  </w:num>
  <w:num w:numId="61" w16cid:durableId="1980070124">
    <w:abstractNumId w:val="169"/>
  </w:num>
  <w:num w:numId="62" w16cid:durableId="1751384401">
    <w:abstractNumId w:val="146"/>
  </w:num>
  <w:num w:numId="63" w16cid:durableId="888758772">
    <w:abstractNumId w:val="53"/>
  </w:num>
  <w:num w:numId="64" w16cid:durableId="1428504556">
    <w:abstractNumId w:val="11"/>
  </w:num>
  <w:num w:numId="65" w16cid:durableId="1368019865">
    <w:abstractNumId w:val="189"/>
  </w:num>
  <w:num w:numId="66" w16cid:durableId="1997103089">
    <w:abstractNumId w:val="162"/>
  </w:num>
  <w:num w:numId="67" w16cid:durableId="999576817">
    <w:abstractNumId w:val="183"/>
  </w:num>
  <w:num w:numId="68" w16cid:durableId="1120220483">
    <w:abstractNumId w:val="185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3"/>
  </w:num>
  <w:num w:numId="74" w16cid:durableId="709107061">
    <w:abstractNumId w:val="31"/>
  </w:num>
  <w:num w:numId="75" w16cid:durableId="1231696408">
    <w:abstractNumId w:val="126"/>
  </w:num>
  <w:num w:numId="76" w16cid:durableId="722605870">
    <w:abstractNumId w:val="80"/>
  </w:num>
  <w:num w:numId="77" w16cid:durableId="129324489">
    <w:abstractNumId w:val="158"/>
  </w:num>
  <w:num w:numId="78" w16cid:durableId="983044799">
    <w:abstractNumId w:val="118"/>
  </w:num>
  <w:num w:numId="79" w16cid:durableId="1135030876">
    <w:abstractNumId w:val="9"/>
  </w:num>
  <w:num w:numId="80" w16cid:durableId="193005106">
    <w:abstractNumId w:val="85"/>
  </w:num>
  <w:num w:numId="81" w16cid:durableId="1651210118">
    <w:abstractNumId w:val="159"/>
  </w:num>
  <w:num w:numId="82" w16cid:durableId="1644046001">
    <w:abstractNumId w:val="69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09"/>
  </w:num>
  <w:num w:numId="86" w16cid:durableId="677079084">
    <w:abstractNumId w:val="77"/>
  </w:num>
  <w:num w:numId="87" w16cid:durableId="1717895316">
    <w:abstractNumId w:val="84"/>
  </w:num>
  <w:num w:numId="88" w16cid:durableId="1381586366">
    <w:abstractNumId w:val="135"/>
  </w:num>
  <w:num w:numId="89" w16cid:durableId="726415045">
    <w:abstractNumId w:val="42"/>
  </w:num>
  <w:num w:numId="90" w16cid:durableId="134374695">
    <w:abstractNumId w:val="136"/>
  </w:num>
  <w:num w:numId="91" w16cid:durableId="1333605177">
    <w:abstractNumId w:val="149"/>
  </w:num>
  <w:num w:numId="92" w16cid:durableId="707990345">
    <w:abstractNumId w:val="78"/>
  </w:num>
  <w:num w:numId="93" w16cid:durableId="1424061098">
    <w:abstractNumId w:val="21"/>
  </w:num>
  <w:num w:numId="94" w16cid:durableId="1238593463">
    <w:abstractNumId w:val="89"/>
  </w:num>
  <w:num w:numId="95" w16cid:durableId="474218565">
    <w:abstractNumId w:val="33"/>
  </w:num>
  <w:num w:numId="96" w16cid:durableId="1305157866">
    <w:abstractNumId w:val="14"/>
  </w:num>
  <w:num w:numId="97" w16cid:durableId="503668382">
    <w:abstractNumId w:val="142"/>
  </w:num>
  <w:num w:numId="98" w16cid:durableId="141898825">
    <w:abstractNumId w:val="59"/>
  </w:num>
  <w:num w:numId="99" w16cid:durableId="322399246">
    <w:abstractNumId w:val="16"/>
  </w:num>
  <w:num w:numId="100" w16cid:durableId="1519343566">
    <w:abstractNumId w:val="26"/>
  </w:num>
  <w:num w:numId="101" w16cid:durableId="1724324996">
    <w:abstractNumId w:val="72"/>
  </w:num>
  <w:num w:numId="102" w16cid:durableId="1758553305">
    <w:abstractNumId w:val="73"/>
  </w:num>
  <w:num w:numId="103" w16cid:durableId="1085539426">
    <w:abstractNumId w:val="58"/>
  </w:num>
  <w:num w:numId="104" w16cid:durableId="1402362524">
    <w:abstractNumId w:val="156"/>
  </w:num>
  <w:num w:numId="105" w16cid:durableId="83691757">
    <w:abstractNumId w:val="138"/>
  </w:num>
  <w:num w:numId="106" w16cid:durableId="1198078696">
    <w:abstractNumId w:val="39"/>
  </w:num>
  <w:num w:numId="107" w16cid:durableId="1240169118">
    <w:abstractNumId w:val="25"/>
  </w:num>
  <w:num w:numId="108" w16cid:durableId="187839146">
    <w:abstractNumId w:val="74"/>
  </w:num>
  <w:num w:numId="109" w16cid:durableId="139004657">
    <w:abstractNumId w:val="152"/>
  </w:num>
  <w:num w:numId="110" w16cid:durableId="835002621">
    <w:abstractNumId w:val="170"/>
  </w:num>
  <w:num w:numId="111" w16cid:durableId="146362569">
    <w:abstractNumId w:val="82"/>
  </w:num>
  <w:num w:numId="112" w16cid:durableId="1851218359">
    <w:abstractNumId w:val="163"/>
  </w:num>
  <w:num w:numId="113" w16cid:durableId="1189637771">
    <w:abstractNumId w:val="5"/>
  </w:num>
  <w:num w:numId="114" w16cid:durableId="1268536209">
    <w:abstractNumId w:val="57"/>
  </w:num>
  <w:num w:numId="115" w16cid:durableId="603001856">
    <w:abstractNumId w:val="68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6"/>
  </w:num>
  <w:num w:numId="119" w16cid:durableId="900410431">
    <w:abstractNumId w:val="81"/>
  </w:num>
  <w:num w:numId="120" w16cid:durableId="315885655">
    <w:abstractNumId w:val="44"/>
  </w:num>
  <w:num w:numId="121" w16cid:durableId="1814448626">
    <w:abstractNumId w:val="50"/>
  </w:num>
  <w:num w:numId="122" w16cid:durableId="1097486741">
    <w:abstractNumId w:val="190"/>
  </w:num>
  <w:num w:numId="123" w16cid:durableId="1956865228">
    <w:abstractNumId w:val="3"/>
  </w:num>
  <w:num w:numId="124" w16cid:durableId="1276867340">
    <w:abstractNumId w:val="83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7"/>
  </w:num>
  <w:num w:numId="128" w16cid:durableId="818154906">
    <w:abstractNumId w:val="143"/>
  </w:num>
  <w:num w:numId="129" w16cid:durableId="1882933843">
    <w:abstractNumId w:val="175"/>
  </w:num>
  <w:num w:numId="130" w16cid:durableId="1056199195">
    <w:abstractNumId w:val="48"/>
  </w:num>
  <w:num w:numId="131" w16cid:durableId="553470426">
    <w:abstractNumId w:val="65"/>
  </w:num>
  <w:num w:numId="132" w16cid:durableId="739669324">
    <w:abstractNumId w:val="153"/>
  </w:num>
  <w:num w:numId="133" w16cid:durableId="1342589866">
    <w:abstractNumId w:val="99"/>
  </w:num>
  <w:num w:numId="134" w16cid:durableId="805589429">
    <w:abstractNumId w:val="171"/>
  </w:num>
  <w:num w:numId="135" w16cid:durableId="1751851846">
    <w:abstractNumId w:val="76"/>
  </w:num>
  <w:num w:numId="136" w16cid:durableId="1035348142">
    <w:abstractNumId w:val="147"/>
  </w:num>
  <w:num w:numId="137" w16cid:durableId="342322650">
    <w:abstractNumId w:val="106"/>
  </w:num>
  <w:num w:numId="138" w16cid:durableId="2021813476">
    <w:abstractNumId w:val="52"/>
  </w:num>
  <w:num w:numId="139" w16cid:durableId="1260796502">
    <w:abstractNumId w:val="107"/>
  </w:num>
  <w:num w:numId="140" w16cid:durableId="211890294">
    <w:abstractNumId w:val="100"/>
  </w:num>
  <w:num w:numId="141" w16cid:durableId="1770925473">
    <w:abstractNumId w:val="133"/>
  </w:num>
  <w:num w:numId="142" w16cid:durableId="192891600">
    <w:abstractNumId w:val="22"/>
  </w:num>
  <w:num w:numId="143" w16cid:durableId="675690864">
    <w:abstractNumId w:val="115"/>
  </w:num>
  <w:num w:numId="144" w16cid:durableId="1495105408">
    <w:abstractNumId w:val="79"/>
  </w:num>
  <w:num w:numId="145" w16cid:durableId="170608313">
    <w:abstractNumId w:val="6"/>
  </w:num>
  <w:num w:numId="146" w16cid:durableId="388725436">
    <w:abstractNumId w:val="157"/>
  </w:num>
  <w:num w:numId="147" w16cid:durableId="1916433450">
    <w:abstractNumId w:val="124"/>
  </w:num>
  <w:num w:numId="148" w16cid:durableId="3675684">
    <w:abstractNumId w:val="95"/>
  </w:num>
  <w:num w:numId="149" w16cid:durableId="1134447677">
    <w:abstractNumId w:val="112"/>
  </w:num>
  <w:num w:numId="150" w16cid:durableId="269163122">
    <w:abstractNumId w:val="103"/>
  </w:num>
  <w:num w:numId="151" w16cid:durableId="596711321">
    <w:abstractNumId w:val="122"/>
  </w:num>
  <w:num w:numId="152" w16cid:durableId="574584926">
    <w:abstractNumId w:val="19"/>
  </w:num>
  <w:num w:numId="153" w16cid:durableId="2109736526">
    <w:abstractNumId w:val="179"/>
  </w:num>
  <w:num w:numId="154" w16cid:durableId="1291741062">
    <w:abstractNumId w:val="191"/>
  </w:num>
  <w:num w:numId="155" w16cid:durableId="1206135565">
    <w:abstractNumId w:val="131"/>
  </w:num>
  <w:num w:numId="156" w16cid:durableId="154761118">
    <w:abstractNumId w:val="98"/>
  </w:num>
  <w:num w:numId="157" w16cid:durableId="6100150">
    <w:abstractNumId w:val="61"/>
  </w:num>
  <w:num w:numId="158" w16cid:durableId="1250579651">
    <w:abstractNumId w:val="71"/>
  </w:num>
  <w:num w:numId="159" w16cid:durableId="356202047">
    <w:abstractNumId w:val="29"/>
  </w:num>
  <w:num w:numId="160" w16cid:durableId="884827526">
    <w:abstractNumId w:val="130"/>
  </w:num>
  <w:num w:numId="161" w16cid:durableId="34549794">
    <w:abstractNumId w:val="45"/>
  </w:num>
  <w:num w:numId="162" w16cid:durableId="1224100997">
    <w:abstractNumId w:val="88"/>
  </w:num>
  <w:num w:numId="163" w16cid:durableId="940256393">
    <w:abstractNumId w:val="144"/>
  </w:num>
  <w:num w:numId="164" w16cid:durableId="1318457270">
    <w:abstractNumId w:val="128"/>
  </w:num>
  <w:num w:numId="165" w16cid:durableId="1415737338">
    <w:abstractNumId w:val="94"/>
  </w:num>
  <w:num w:numId="166" w16cid:durableId="1779907670">
    <w:abstractNumId w:val="37"/>
  </w:num>
  <w:num w:numId="167" w16cid:durableId="1723602264">
    <w:abstractNumId w:val="160"/>
  </w:num>
  <w:num w:numId="168" w16cid:durableId="1451587149">
    <w:abstractNumId w:val="27"/>
  </w:num>
  <w:num w:numId="169" w16cid:durableId="723872476">
    <w:abstractNumId w:val="111"/>
  </w:num>
  <w:num w:numId="170" w16cid:durableId="372077083">
    <w:abstractNumId w:val="125"/>
  </w:num>
  <w:num w:numId="171" w16cid:durableId="62607842">
    <w:abstractNumId w:val="113"/>
  </w:num>
  <w:num w:numId="172" w16cid:durableId="915626482">
    <w:abstractNumId w:val="13"/>
  </w:num>
  <w:num w:numId="173" w16cid:durableId="748817343">
    <w:abstractNumId w:val="155"/>
  </w:num>
  <w:num w:numId="174" w16cid:durableId="617182856">
    <w:abstractNumId w:val="67"/>
  </w:num>
  <w:num w:numId="175" w16cid:durableId="1787964111">
    <w:abstractNumId w:val="17"/>
  </w:num>
  <w:num w:numId="176" w16cid:durableId="1662461199">
    <w:abstractNumId w:val="23"/>
  </w:num>
  <w:num w:numId="177" w16cid:durableId="1460297896">
    <w:abstractNumId w:val="141"/>
  </w:num>
  <w:num w:numId="178" w16cid:durableId="701521453">
    <w:abstractNumId w:val="150"/>
  </w:num>
  <w:num w:numId="179" w16cid:durableId="1361474917">
    <w:abstractNumId w:val="36"/>
  </w:num>
  <w:num w:numId="180" w16cid:durableId="1743525033">
    <w:abstractNumId w:val="165"/>
  </w:num>
  <w:num w:numId="181" w16cid:durableId="481389113">
    <w:abstractNumId w:val="145"/>
  </w:num>
  <w:num w:numId="182" w16cid:durableId="97600470">
    <w:abstractNumId w:val="166"/>
  </w:num>
  <w:num w:numId="183" w16cid:durableId="1217009680">
    <w:abstractNumId w:val="60"/>
  </w:num>
  <w:num w:numId="184" w16cid:durableId="1357467517">
    <w:abstractNumId w:val="123"/>
  </w:num>
  <w:num w:numId="185" w16cid:durableId="955066101">
    <w:abstractNumId w:val="46"/>
  </w:num>
  <w:num w:numId="186" w16cid:durableId="1876845896">
    <w:abstractNumId w:val="102"/>
  </w:num>
  <w:num w:numId="187" w16cid:durableId="1268001909">
    <w:abstractNumId w:val="172"/>
  </w:num>
  <w:num w:numId="188" w16cid:durableId="1232809278">
    <w:abstractNumId w:val="177"/>
  </w:num>
  <w:num w:numId="189" w16cid:durableId="536159260">
    <w:abstractNumId w:val="154"/>
  </w:num>
  <w:num w:numId="190" w16cid:durableId="1795827053">
    <w:abstractNumId w:val="18"/>
  </w:num>
  <w:num w:numId="191" w16cid:durableId="771902271">
    <w:abstractNumId w:val="181"/>
  </w:num>
  <w:num w:numId="192" w16cid:durableId="767116526">
    <w:abstractNumId w:val="1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50D5"/>
    <w:rsid w:val="004A6242"/>
    <w:rsid w:val="004B1EE4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2CAA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2025-09-21T12:08:00Z</cp:lastPrinted>
  <dcterms:created xsi:type="dcterms:W3CDTF">2025-09-21T12:11:00Z</dcterms:created>
  <dcterms:modified xsi:type="dcterms:W3CDTF">2025-09-21T12:12:00Z</dcterms:modified>
</cp:coreProperties>
</file>