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5493" w14:textId="0FB4A2E7" w:rsidR="00AA7749" w:rsidRDefault="00AA7749" w:rsidP="00AA7749">
      <w:pPr>
        <w:pStyle w:val="Titre1"/>
      </w:pPr>
      <w:r w:rsidRPr="00AA7749">
        <w:t>Comparaison de la philosophie générale des UE (2019 vs 2026)</w:t>
      </w:r>
    </w:p>
    <w:p w14:paraId="52049852" w14:textId="77777777" w:rsidR="00DE405B" w:rsidRPr="00DE405B" w:rsidRDefault="00DE405B" w:rsidP="00DE405B">
      <w:r w:rsidRPr="00DE405B">
        <w:t xml:space="preserve">Le </w:t>
      </w:r>
      <w:r w:rsidRPr="00DE405B">
        <w:rPr>
          <w:b/>
          <w:bCs/>
        </w:rPr>
        <w:t>DCG 2026</w:t>
      </w:r>
      <w:r w:rsidRPr="00DE405B">
        <w:t xml:space="preserve"> rompt avec la logique encyclopédique du </w:t>
      </w:r>
      <w:r w:rsidRPr="00DE405B">
        <w:rPr>
          <w:b/>
          <w:bCs/>
        </w:rPr>
        <w:t>DCG 2019</w:t>
      </w:r>
      <w:r w:rsidRPr="00DE405B">
        <w:t>.</w:t>
      </w:r>
      <w:r w:rsidRPr="00DE405B">
        <w:br/>
        <w:t>Le référentiel 2026 :</w:t>
      </w:r>
    </w:p>
    <w:p w14:paraId="15547029" w14:textId="77777777" w:rsidR="00DE405B" w:rsidRPr="00DE405B" w:rsidRDefault="00DE405B" w:rsidP="00DE405B">
      <w:pPr>
        <w:pStyle w:val="Paragraphedeliste"/>
        <w:numPr>
          <w:ilvl w:val="0"/>
          <w:numId w:val="2"/>
        </w:numPr>
      </w:pPr>
      <w:r w:rsidRPr="00DE405B">
        <w:t xml:space="preserve">remplace les </w:t>
      </w:r>
      <w:r w:rsidRPr="00DE405B">
        <w:rPr>
          <w:b/>
          <w:bCs/>
        </w:rPr>
        <w:t>programmes de connaissances</w:t>
      </w:r>
      <w:r w:rsidRPr="00DE405B">
        <w:t xml:space="preserve"> par des </w:t>
      </w:r>
      <w:r w:rsidRPr="00DE405B">
        <w:rPr>
          <w:b/>
          <w:bCs/>
        </w:rPr>
        <w:t>référentiels de compétences</w:t>
      </w:r>
      <w:r w:rsidRPr="00DE405B">
        <w:t xml:space="preserve"> ;</w:t>
      </w:r>
    </w:p>
    <w:p w14:paraId="635F9DB9" w14:textId="77777777" w:rsidR="00DE405B" w:rsidRPr="00DE405B" w:rsidRDefault="00DE405B" w:rsidP="00DE405B">
      <w:pPr>
        <w:pStyle w:val="Paragraphedeliste"/>
        <w:numPr>
          <w:ilvl w:val="0"/>
          <w:numId w:val="2"/>
        </w:numPr>
      </w:pPr>
      <w:r w:rsidRPr="00DE405B">
        <w:t xml:space="preserve">aligne l’enseignement sur les </w:t>
      </w:r>
      <w:r w:rsidRPr="00DE405B">
        <w:rPr>
          <w:b/>
          <w:bCs/>
        </w:rPr>
        <w:t>attentes de la profession comptable et financière</w:t>
      </w:r>
      <w:r w:rsidRPr="00DE405B">
        <w:t xml:space="preserve"> ;</w:t>
      </w:r>
    </w:p>
    <w:p w14:paraId="6632B153" w14:textId="77777777" w:rsidR="00DE405B" w:rsidRPr="00DE405B" w:rsidRDefault="00DE405B" w:rsidP="00DE405B">
      <w:pPr>
        <w:pStyle w:val="Paragraphedeliste"/>
        <w:numPr>
          <w:ilvl w:val="0"/>
          <w:numId w:val="2"/>
        </w:numPr>
      </w:pPr>
      <w:r w:rsidRPr="00DE405B">
        <w:t xml:space="preserve">renforce la </w:t>
      </w:r>
      <w:r w:rsidRPr="00DE405B">
        <w:rPr>
          <w:b/>
          <w:bCs/>
        </w:rPr>
        <w:t>transversalité entre les disciplines</w:t>
      </w:r>
      <w:r w:rsidRPr="00DE405B">
        <w:t xml:space="preserve"> ;</w:t>
      </w:r>
    </w:p>
    <w:p w14:paraId="41C9A54E" w14:textId="77777777" w:rsidR="00DE405B" w:rsidRPr="00DE405B" w:rsidRDefault="00DE405B" w:rsidP="00DE405B">
      <w:pPr>
        <w:pStyle w:val="Paragraphedeliste"/>
        <w:numPr>
          <w:ilvl w:val="0"/>
          <w:numId w:val="2"/>
        </w:numPr>
      </w:pPr>
      <w:r w:rsidRPr="00DE405B">
        <w:t xml:space="preserve">introduit les </w:t>
      </w:r>
      <w:r w:rsidRPr="00DE405B">
        <w:rPr>
          <w:b/>
          <w:bCs/>
        </w:rPr>
        <w:t>enjeux numériques, éthiques et environnementaux</w:t>
      </w:r>
      <w:r w:rsidRPr="00DE405B">
        <w:t xml:space="preserve"> ;</w:t>
      </w:r>
    </w:p>
    <w:p w14:paraId="6FD7673E" w14:textId="77777777" w:rsidR="00DE405B" w:rsidRPr="00DE405B" w:rsidRDefault="00DE405B" w:rsidP="00DE405B">
      <w:pPr>
        <w:pStyle w:val="Paragraphedeliste"/>
        <w:numPr>
          <w:ilvl w:val="0"/>
          <w:numId w:val="2"/>
        </w:numPr>
      </w:pPr>
      <w:r w:rsidRPr="00DE405B">
        <w:t xml:space="preserve">consacre la </w:t>
      </w:r>
      <w:r w:rsidRPr="00DE405B">
        <w:rPr>
          <w:b/>
          <w:bCs/>
        </w:rPr>
        <w:t>progression continue vers le DSCG</w:t>
      </w:r>
      <w:r w:rsidRPr="00DE405B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3"/>
        <w:gridCol w:w="2503"/>
        <w:gridCol w:w="3566"/>
        <w:gridCol w:w="2904"/>
      </w:tblGrid>
      <w:tr w:rsidR="00DE405B" w:rsidRPr="00DE405B" w14:paraId="35691934" w14:textId="77777777" w:rsidTr="00DE405B">
        <w:trPr>
          <w:tblHeader/>
        </w:trPr>
        <w:tc>
          <w:tcPr>
            <w:tcW w:w="0" w:type="auto"/>
            <w:hideMark/>
          </w:tcPr>
          <w:p w14:paraId="353A561D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Axes / Domaines</w:t>
            </w:r>
          </w:p>
        </w:tc>
        <w:tc>
          <w:tcPr>
            <w:tcW w:w="0" w:type="auto"/>
            <w:hideMark/>
          </w:tcPr>
          <w:p w14:paraId="1A0668E2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Philosophie du DCG 2019</w:t>
            </w:r>
          </w:p>
        </w:tc>
        <w:tc>
          <w:tcPr>
            <w:tcW w:w="0" w:type="auto"/>
            <w:hideMark/>
          </w:tcPr>
          <w:p w14:paraId="02F2717C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Philosophie du DCG 2026</w:t>
            </w:r>
          </w:p>
        </w:tc>
        <w:tc>
          <w:tcPr>
            <w:tcW w:w="0" w:type="auto"/>
            <w:hideMark/>
          </w:tcPr>
          <w:p w14:paraId="29F84B2F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Évolution majeure</w:t>
            </w:r>
          </w:p>
        </w:tc>
      </w:tr>
      <w:tr w:rsidR="00DE405B" w:rsidRPr="00DE405B" w14:paraId="5AE0F35F" w14:textId="77777777" w:rsidTr="00DE405B">
        <w:tc>
          <w:tcPr>
            <w:tcW w:w="0" w:type="auto"/>
            <w:hideMark/>
          </w:tcPr>
          <w:p w14:paraId="1BF8A32E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Finalité du diplôme</w:t>
            </w:r>
          </w:p>
        </w:tc>
        <w:tc>
          <w:tcPr>
            <w:tcW w:w="0" w:type="auto"/>
            <w:hideMark/>
          </w:tcPr>
          <w:p w14:paraId="2C98D389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sz w:val="20"/>
                <w:szCs w:val="20"/>
              </w:rPr>
              <w:t xml:space="preserve">Formation universitaire à dominante académique : transmission de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savoirs juridiques, comptables, économiques et managériaux</w:t>
            </w:r>
            <w:r w:rsidRPr="00DE405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7DF7EE9B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sz w:val="20"/>
                <w:szCs w:val="20"/>
              </w:rPr>
              <w:t xml:space="preserve">Diplôme conçu comme une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licence professionnelle du champ comptable</w:t>
            </w:r>
            <w:r w:rsidRPr="00DE405B">
              <w:rPr>
                <w:rFonts w:ascii="Calibri" w:hAnsi="Calibri" w:cs="Calibri"/>
                <w:sz w:val="20"/>
                <w:szCs w:val="20"/>
              </w:rPr>
              <w:t xml:space="preserve">, centré sur les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compétences opérationnelles</w:t>
            </w:r>
            <w:r w:rsidRPr="00DE405B">
              <w:rPr>
                <w:rFonts w:ascii="Calibri" w:hAnsi="Calibri" w:cs="Calibri"/>
                <w:sz w:val="20"/>
                <w:szCs w:val="20"/>
              </w:rPr>
              <w:t xml:space="preserve"> attendues par la filière de l’expertise comptable et de la gestion.</w:t>
            </w:r>
          </w:p>
        </w:tc>
        <w:tc>
          <w:tcPr>
            <w:tcW w:w="0" w:type="auto"/>
            <w:hideMark/>
          </w:tcPr>
          <w:p w14:paraId="2B89A739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sz w:val="20"/>
                <w:szCs w:val="20"/>
              </w:rPr>
              <w:t xml:space="preserve">Passage d’un diplôme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de connaissance</w:t>
            </w:r>
            <w:r w:rsidRPr="00DE405B">
              <w:rPr>
                <w:rFonts w:ascii="Calibri" w:hAnsi="Calibri" w:cs="Calibri"/>
                <w:sz w:val="20"/>
                <w:szCs w:val="20"/>
              </w:rPr>
              <w:t xml:space="preserve"> à un diplôme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de compétence et d’action</w:t>
            </w:r>
            <w:r w:rsidRPr="00DE405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DE405B" w:rsidRPr="00DE405B" w14:paraId="118A5D3E" w14:textId="77777777" w:rsidTr="00DE405B">
        <w:tc>
          <w:tcPr>
            <w:tcW w:w="0" w:type="auto"/>
            <w:hideMark/>
          </w:tcPr>
          <w:p w14:paraId="02E57029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Approche pédagogique</w:t>
            </w:r>
          </w:p>
        </w:tc>
        <w:tc>
          <w:tcPr>
            <w:tcW w:w="0" w:type="auto"/>
            <w:hideMark/>
          </w:tcPr>
          <w:p w14:paraId="370C96E8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sz w:val="20"/>
                <w:szCs w:val="20"/>
              </w:rPr>
              <w:t xml:space="preserve">Logique de programmes détaillant les notions à connaître et à restituer. Évaluations centrées sur la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maîtrise théorique</w:t>
            </w:r>
            <w:r w:rsidRPr="00DE405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79061D18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sz w:val="20"/>
                <w:szCs w:val="20"/>
              </w:rPr>
              <w:t xml:space="preserve">Logique de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référentiel de compétences</w:t>
            </w:r>
            <w:r w:rsidRPr="00DE405B">
              <w:rPr>
                <w:rFonts w:ascii="Calibri" w:hAnsi="Calibri" w:cs="Calibri"/>
                <w:sz w:val="20"/>
                <w:szCs w:val="20"/>
              </w:rPr>
              <w:t xml:space="preserve"> : chaque UE est formulée autour de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situations professionnelles</w:t>
            </w:r>
            <w:r w:rsidRPr="00DE405B">
              <w:rPr>
                <w:rFonts w:ascii="Calibri" w:hAnsi="Calibri" w:cs="Calibri"/>
                <w:sz w:val="20"/>
                <w:szCs w:val="20"/>
              </w:rPr>
              <w:t xml:space="preserve"> et de capacités à mobiliser. Évaluations fondées sur la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résolution de cas concrets</w:t>
            </w:r>
            <w:r w:rsidRPr="00DE405B">
              <w:rPr>
                <w:rFonts w:ascii="Calibri" w:hAnsi="Calibri" w:cs="Calibri"/>
                <w:sz w:val="20"/>
                <w:szCs w:val="20"/>
              </w:rPr>
              <w:t xml:space="preserve"> et l’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argumentation raisonnée</w:t>
            </w:r>
            <w:r w:rsidRPr="00DE405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7A971841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sz w:val="20"/>
                <w:szCs w:val="20"/>
              </w:rPr>
              <w:t xml:space="preserve">Transformation du cadre d’enseignement :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de la théorie vers la pratique contextualisée</w:t>
            </w:r>
            <w:r w:rsidRPr="00DE405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DE405B" w:rsidRPr="00DE405B" w14:paraId="7C3E0F16" w14:textId="77777777" w:rsidTr="00DE405B">
        <w:tc>
          <w:tcPr>
            <w:tcW w:w="0" w:type="auto"/>
            <w:hideMark/>
          </w:tcPr>
          <w:p w14:paraId="115894FE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Lien entre les UE</w:t>
            </w:r>
          </w:p>
        </w:tc>
        <w:tc>
          <w:tcPr>
            <w:tcW w:w="0" w:type="auto"/>
            <w:hideMark/>
          </w:tcPr>
          <w:p w14:paraId="0E589251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sz w:val="20"/>
                <w:szCs w:val="20"/>
              </w:rPr>
              <w:t xml:space="preserve">Chaque UE fonctionnait de manière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autonome</w:t>
            </w:r>
            <w:r w:rsidRPr="00DE405B">
              <w:rPr>
                <w:rFonts w:ascii="Calibri" w:hAnsi="Calibri" w:cs="Calibri"/>
                <w:sz w:val="20"/>
                <w:szCs w:val="20"/>
              </w:rPr>
              <w:t>, sans réelle articulation.</w:t>
            </w:r>
          </w:p>
        </w:tc>
        <w:tc>
          <w:tcPr>
            <w:tcW w:w="0" w:type="auto"/>
            <w:hideMark/>
          </w:tcPr>
          <w:p w14:paraId="76F1F02F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sz w:val="20"/>
                <w:szCs w:val="20"/>
              </w:rPr>
              <w:t xml:space="preserve">Le référentiel met en place une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progression intégrée</w:t>
            </w:r>
            <w:r w:rsidRPr="00DE405B">
              <w:rPr>
                <w:rFonts w:ascii="Calibri" w:hAnsi="Calibri" w:cs="Calibri"/>
                <w:sz w:val="20"/>
                <w:szCs w:val="20"/>
              </w:rPr>
              <w:t xml:space="preserve"> : • Juridique (UE1→UE4) • Comptable–financière (UE9→UE11→UE6) • Managériale (UE5→UE7) • Transversale (UE8, UE12, UE13).</w:t>
            </w:r>
          </w:p>
        </w:tc>
        <w:tc>
          <w:tcPr>
            <w:tcW w:w="0" w:type="auto"/>
            <w:hideMark/>
          </w:tcPr>
          <w:p w14:paraId="3A983535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sz w:val="20"/>
                <w:szCs w:val="20"/>
              </w:rPr>
              <w:t xml:space="preserve">Le DCG devient un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système cohérent de compétences interconnectées</w:t>
            </w:r>
            <w:r w:rsidRPr="00DE405B">
              <w:rPr>
                <w:rFonts w:ascii="Calibri" w:hAnsi="Calibri" w:cs="Calibri"/>
                <w:sz w:val="20"/>
                <w:szCs w:val="20"/>
              </w:rPr>
              <w:t>, préparant directement au DSCG.</w:t>
            </w:r>
          </w:p>
        </w:tc>
      </w:tr>
      <w:tr w:rsidR="00DE405B" w:rsidRPr="00DE405B" w14:paraId="08D845C8" w14:textId="77777777" w:rsidTr="00DE405B">
        <w:tc>
          <w:tcPr>
            <w:tcW w:w="0" w:type="auto"/>
            <w:hideMark/>
          </w:tcPr>
          <w:p w14:paraId="73D5C137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Lien avec la profession comptable</w:t>
            </w:r>
          </w:p>
        </w:tc>
        <w:tc>
          <w:tcPr>
            <w:tcW w:w="0" w:type="auto"/>
            <w:hideMark/>
          </w:tcPr>
          <w:p w14:paraId="6A624F7E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sz w:val="20"/>
                <w:szCs w:val="20"/>
              </w:rPr>
              <w:t>Peu explicité : le DCG formait à la comptabilité et à la gestion de manière large.</w:t>
            </w:r>
          </w:p>
        </w:tc>
        <w:tc>
          <w:tcPr>
            <w:tcW w:w="0" w:type="auto"/>
            <w:hideMark/>
          </w:tcPr>
          <w:p w14:paraId="58907FFF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Centré sur le CNOEC et la filière de l’expertise comptable</w:t>
            </w:r>
            <w:r w:rsidRPr="00DE405B">
              <w:rPr>
                <w:rFonts w:ascii="Calibri" w:hAnsi="Calibri" w:cs="Calibri"/>
                <w:sz w:val="20"/>
                <w:szCs w:val="20"/>
              </w:rPr>
              <w:t xml:space="preserve"> : chaque UE correspond à des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situations professionnelles types</w:t>
            </w:r>
            <w:r w:rsidRPr="00DE405B">
              <w:rPr>
                <w:rFonts w:ascii="Calibri" w:hAnsi="Calibri" w:cs="Calibri"/>
                <w:sz w:val="20"/>
                <w:szCs w:val="20"/>
              </w:rPr>
              <w:t xml:space="preserve"> (accompagnement client, contrôle, analyse, conseil).</w:t>
            </w:r>
          </w:p>
        </w:tc>
        <w:tc>
          <w:tcPr>
            <w:tcW w:w="0" w:type="auto"/>
            <w:hideMark/>
          </w:tcPr>
          <w:p w14:paraId="3A8B30B4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sz w:val="20"/>
                <w:szCs w:val="20"/>
              </w:rPr>
              <w:t xml:space="preserve">Le diplôme devient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le socle officiel de la profession comptable</w:t>
            </w:r>
            <w:r w:rsidRPr="00DE405B">
              <w:rPr>
                <w:rFonts w:ascii="Calibri" w:hAnsi="Calibri" w:cs="Calibri"/>
                <w:sz w:val="20"/>
                <w:szCs w:val="20"/>
              </w:rPr>
              <w:t xml:space="preserve"> : tourné vers le cabinet, la PME, ou les fonctions de gestion.</w:t>
            </w:r>
          </w:p>
        </w:tc>
      </w:tr>
      <w:tr w:rsidR="00DE405B" w:rsidRPr="00DE405B" w14:paraId="17E6D357" w14:textId="77777777" w:rsidTr="00DE405B">
        <w:tc>
          <w:tcPr>
            <w:tcW w:w="0" w:type="auto"/>
            <w:hideMark/>
          </w:tcPr>
          <w:p w14:paraId="6BF9BBB5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Place du numérique</w:t>
            </w:r>
          </w:p>
        </w:tc>
        <w:tc>
          <w:tcPr>
            <w:tcW w:w="0" w:type="auto"/>
            <w:hideMark/>
          </w:tcPr>
          <w:p w14:paraId="66A2F57B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sz w:val="20"/>
                <w:szCs w:val="20"/>
              </w:rPr>
              <w:t>Présente marginalement (tableur, logiciels).</w:t>
            </w:r>
          </w:p>
        </w:tc>
        <w:tc>
          <w:tcPr>
            <w:tcW w:w="0" w:type="auto"/>
            <w:hideMark/>
          </w:tcPr>
          <w:p w14:paraId="14B04AB9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sz w:val="20"/>
                <w:szCs w:val="20"/>
              </w:rPr>
              <w:t xml:space="preserve">Omniprésente :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dématérialisation, automatisation, data, veille juridique, cybersécurité, outils collaboratifs</w:t>
            </w:r>
            <w:r w:rsidRPr="00DE405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4A2F6948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sz w:val="20"/>
                <w:szCs w:val="20"/>
              </w:rPr>
              <w:t xml:space="preserve">Le numérique devient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transversal et structurant</w:t>
            </w:r>
            <w:r w:rsidRPr="00DE405B">
              <w:rPr>
                <w:rFonts w:ascii="Calibri" w:hAnsi="Calibri" w:cs="Calibri"/>
                <w:sz w:val="20"/>
                <w:szCs w:val="20"/>
              </w:rPr>
              <w:t xml:space="preserve"> dans toutes les UE.</w:t>
            </w:r>
          </w:p>
        </w:tc>
      </w:tr>
      <w:tr w:rsidR="00DE405B" w:rsidRPr="00DE405B" w14:paraId="5D115E2B" w14:textId="77777777" w:rsidTr="00DE405B">
        <w:tc>
          <w:tcPr>
            <w:tcW w:w="0" w:type="auto"/>
            <w:hideMark/>
          </w:tcPr>
          <w:p w14:paraId="0D465E77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Valeurs et postures attendues</w:t>
            </w:r>
          </w:p>
        </w:tc>
        <w:tc>
          <w:tcPr>
            <w:tcW w:w="0" w:type="auto"/>
            <w:hideMark/>
          </w:tcPr>
          <w:p w14:paraId="5FA2B500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sz w:val="20"/>
                <w:szCs w:val="20"/>
              </w:rPr>
              <w:t>Connaissance, rigueur, conformité.</w:t>
            </w:r>
          </w:p>
        </w:tc>
        <w:tc>
          <w:tcPr>
            <w:tcW w:w="0" w:type="auto"/>
            <w:hideMark/>
          </w:tcPr>
          <w:p w14:paraId="00069C91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Professionnalisme, esprit critique, agilité, éthique, responsabilité.</w:t>
            </w:r>
          </w:p>
        </w:tc>
        <w:tc>
          <w:tcPr>
            <w:tcW w:w="0" w:type="auto"/>
            <w:hideMark/>
          </w:tcPr>
          <w:p w14:paraId="18B118CE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sz w:val="20"/>
                <w:szCs w:val="20"/>
              </w:rPr>
              <w:t xml:space="preserve">Le DCG forme désormais un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collaborateur-conseil</w:t>
            </w:r>
            <w:r w:rsidRPr="00DE405B">
              <w:rPr>
                <w:rFonts w:ascii="Calibri" w:hAnsi="Calibri" w:cs="Calibri"/>
                <w:sz w:val="20"/>
                <w:szCs w:val="20"/>
              </w:rPr>
              <w:t xml:space="preserve"> plutôt qu’un simple exécutant.</w:t>
            </w:r>
          </w:p>
        </w:tc>
      </w:tr>
      <w:tr w:rsidR="00DE405B" w:rsidRPr="00DE405B" w14:paraId="42A06C1D" w14:textId="77777777" w:rsidTr="00DE405B">
        <w:tc>
          <w:tcPr>
            <w:tcW w:w="0" w:type="auto"/>
            <w:hideMark/>
          </w:tcPr>
          <w:p w14:paraId="7E567C1D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Lien avec le DSCG</w:t>
            </w:r>
          </w:p>
        </w:tc>
        <w:tc>
          <w:tcPr>
            <w:tcW w:w="0" w:type="auto"/>
            <w:hideMark/>
          </w:tcPr>
          <w:p w14:paraId="56E4731F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sz w:val="20"/>
                <w:szCs w:val="20"/>
              </w:rPr>
              <w:t>Le DSCG était conçu comme un diplôme supérieur séparé, sans articulation claire.</w:t>
            </w:r>
          </w:p>
        </w:tc>
        <w:tc>
          <w:tcPr>
            <w:tcW w:w="0" w:type="auto"/>
            <w:hideMark/>
          </w:tcPr>
          <w:p w14:paraId="15215F94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sz w:val="20"/>
                <w:szCs w:val="20"/>
              </w:rPr>
              <w:t xml:space="preserve">Le DCG 2026 introduit un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continuum pédagogique</w:t>
            </w:r>
            <w:r w:rsidRPr="00DE405B">
              <w:rPr>
                <w:rFonts w:ascii="Calibri" w:hAnsi="Calibri" w:cs="Calibri"/>
                <w:sz w:val="20"/>
                <w:szCs w:val="20"/>
              </w:rPr>
              <w:t xml:space="preserve"> : montée en compétences progressive jusqu’au DSCG, sans redondance.</w:t>
            </w:r>
          </w:p>
        </w:tc>
        <w:tc>
          <w:tcPr>
            <w:tcW w:w="0" w:type="auto"/>
            <w:hideMark/>
          </w:tcPr>
          <w:p w14:paraId="3C5C7926" w14:textId="77777777" w:rsidR="00DE405B" w:rsidRPr="00DE405B" w:rsidRDefault="00DE405B" w:rsidP="00DE405B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DE405B">
              <w:rPr>
                <w:rFonts w:ascii="Calibri" w:hAnsi="Calibri" w:cs="Calibri"/>
                <w:sz w:val="20"/>
                <w:szCs w:val="20"/>
              </w:rPr>
              <w:t xml:space="preserve">Passage d’une logique de succession à une </w:t>
            </w:r>
            <w:r w:rsidRPr="00DE405B">
              <w:rPr>
                <w:rFonts w:ascii="Calibri" w:hAnsi="Calibri" w:cs="Calibri"/>
                <w:b/>
                <w:bCs/>
                <w:sz w:val="20"/>
                <w:szCs w:val="20"/>
              </w:rPr>
              <w:t>logique de continuité et d’approfondissement des compétences</w:t>
            </w:r>
            <w:r w:rsidRPr="00DE405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797C17DC" w14:textId="77777777" w:rsidR="00DE405B" w:rsidRPr="00AA7749" w:rsidRDefault="00DE405B" w:rsidP="00AA774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4"/>
        <w:gridCol w:w="2901"/>
        <w:gridCol w:w="3204"/>
        <w:gridCol w:w="2597"/>
      </w:tblGrid>
      <w:tr w:rsidR="00AA7749" w:rsidRPr="00AA7749" w14:paraId="292D27E5" w14:textId="77777777" w:rsidTr="00AA7749">
        <w:trPr>
          <w:tblHeader/>
        </w:trPr>
        <w:tc>
          <w:tcPr>
            <w:tcW w:w="0" w:type="auto"/>
            <w:hideMark/>
          </w:tcPr>
          <w:p w14:paraId="666F49BE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UE</w:t>
            </w:r>
          </w:p>
        </w:tc>
        <w:tc>
          <w:tcPr>
            <w:tcW w:w="0" w:type="auto"/>
            <w:hideMark/>
          </w:tcPr>
          <w:p w14:paraId="566CDCA8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DCG 2019 – Philosophie générale</w:t>
            </w:r>
          </w:p>
        </w:tc>
        <w:tc>
          <w:tcPr>
            <w:tcW w:w="0" w:type="auto"/>
            <w:hideMark/>
          </w:tcPr>
          <w:p w14:paraId="295A02AF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DCG 2026 – Philosophie générale</w:t>
            </w:r>
          </w:p>
        </w:tc>
        <w:tc>
          <w:tcPr>
            <w:tcW w:w="0" w:type="auto"/>
            <w:hideMark/>
          </w:tcPr>
          <w:p w14:paraId="7D25AB64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Évolution majeure</w:t>
            </w:r>
          </w:p>
        </w:tc>
      </w:tr>
      <w:tr w:rsidR="00AA7749" w:rsidRPr="00AA7749" w14:paraId="04AF717A" w14:textId="77777777" w:rsidTr="00AA7749">
        <w:tc>
          <w:tcPr>
            <w:tcW w:w="0" w:type="auto"/>
            <w:hideMark/>
          </w:tcPr>
          <w:p w14:paraId="44604CBD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UE1 – Fondamentaux du droit</w:t>
            </w:r>
          </w:p>
        </w:tc>
        <w:tc>
          <w:tcPr>
            <w:tcW w:w="0" w:type="auto"/>
            <w:hideMark/>
          </w:tcPr>
          <w:p w14:paraId="3D6CD29D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sz w:val="20"/>
                <w:szCs w:val="20"/>
              </w:rPr>
              <w:t xml:space="preserve">Le droit est présenté comme un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instrument de cohésion sociale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: il exprime les valeurs fondamentales, rend possible la vie en société et évolue avec les besoins. L’enseignement vise la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compréhension du sens et de la portée de la règle de droit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, sa distinction d’avec la morale ou l’éthique, et l’acquisition d’une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culture juridique structurée</w:t>
            </w:r>
            <w:r w:rsidRPr="00AA774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12D8B6B7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sz w:val="20"/>
                <w:szCs w:val="20"/>
              </w:rPr>
              <w:t xml:space="preserve">L’approche devient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par compétences professionnelles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. L’objectif est de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former un futur collaborateur capable d’appliquer le droit à des situations concrètes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en cabinet ou en entreprise. L’accent est mis sur la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cohérence entre DCG et DSCG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, la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progressivité des compétences juridiques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et leur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mobilisation dans le conseil et la relation client</w:t>
            </w:r>
            <w:r w:rsidRPr="00AA774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1EE6509E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sz w:val="20"/>
                <w:szCs w:val="20"/>
              </w:rPr>
              <w:t xml:space="preserve">Passage d’une approche académique et descriptive du droit à une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approche opérationnelle centrée sur la compétence et le conseil</w:t>
            </w:r>
            <w:r w:rsidRPr="00AA774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A7749" w:rsidRPr="00AA7749" w14:paraId="661E0BA1" w14:textId="77777777" w:rsidTr="00AA7749">
        <w:tc>
          <w:tcPr>
            <w:tcW w:w="0" w:type="auto"/>
            <w:hideMark/>
          </w:tcPr>
          <w:p w14:paraId="59A11203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UE2 – Droit des sociétés et groupements d’affaires / Droit des affaires</w:t>
            </w:r>
          </w:p>
        </w:tc>
        <w:tc>
          <w:tcPr>
            <w:tcW w:w="0" w:type="auto"/>
            <w:hideMark/>
          </w:tcPr>
          <w:p w14:paraId="133CDBE1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sz w:val="20"/>
                <w:szCs w:val="20"/>
              </w:rPr>
              <w:t xml:space="preserve">Le droit des sociétés vise la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compréhension du fonctionnement des groupements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et la maîtrise de leur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cadre juridique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(constitution, fonctionnement, dissolution). Il est conçu comme un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outil d’organisation et de régulation de la vie économique</w:t>
            </w:r>
            <w:r w:rsidRPr="00AA7749">
              <w:rPr>
                <w:rFonts w:ascii="Calibri" w:hAnsi="Calibri" w:cs="Calibri"/>
                <w:sz w:val="20"/>
                <w:szCs w:val="20"/>
              </w:rPr>
              <w:t>, au service des besoins des acteurs.</w:t>
            </w:r>
          </w:p>
        </w:tc>
        <w:tc>
          <w:tcPr>
            <w:tcW w:w="0" w:type="auto"/>
            <w:hideMark/>
          </w:tcPr>
          <w:p w14:paraId="20CBF199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sz w:val="20"/>
                <w:szCs w:val="20"/>
              </w:rPr>
              <w:t xml:space="preserve">L’UE devient «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Droit des affaires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» et adopte une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logique de situations professionnelles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. L’objectif est de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préparer un collaborateur comptable à comprendre et appliquer le droit des affaires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dans des contextes concrets, avec une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vision transversale et pragmatique</w:t>
            </w:r>
            <w:r w:rsidRPr="00AA7749">
              <w:rPr>
                <w:rFonts w:ascii="Calibri" w:hAnsi="Calibri" w:cs="Calibri"/>
                <w:sz w:val="20"/>
                <w:szCs w:val="20"/>
              </w:rPr>
              <w:t>. La cohérence avec le DSCG et la professionnalisation sont centrales.</w:t>
            </w:r>
          </w:p>
        </w:tc>
        <w:tc>
          <w:tcPr>
            <w:tcW w:w="0" w:type="auto"/>
            <w:hideMark/>
          </w:tcPr>
          <w:p w14:paraId="4B005086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sz w:val="20"/>
                <w:szCs w:val="20"/>
              </w:rPr>
              <w:t xml:space="preserve">Évolution vers une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vision intégrée du droit des sociétés au sein du droit des affaires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et une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formation plus pragmatique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et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contextualisée</w:t>
            </w:r>
            <w:r w:rsidRPr="00AA774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A7749" w:rsidRPr="00AA7749" w14:paraId="2F57FEC3" w14:textId="77777777" w:rsidTr="00AA7749">
        <w:tc>
          <w:tcPr>
            <w:tcW w:w="0" w:type="auto"/>
            <w:hideMark/>
          </w:tcPr>
          <w:p w14:paraId="29B10F5C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UE3 – Droit social</w:t>
            </w:r>
          </w:p>
        </w:tc>
        <w:tc>
          <w:tcPr>
            <w:tcW w:w="0" w:type="auto"/>
            <w:hideMark/>
          </w:tcPr>
          <w:p w14:paraId="08A6F72B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sz w:val="20"/>
                <w:szCs w:val="20"/>
              </w:rPr>
              <w:t>L’objectif est d’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introduire le droit du travail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et ses sources, en présentant ses évolutions et ses enjeux (sécurisation des parcours, flexisécurité). Le programme distingue nettement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droit individuel et droit collectif du travail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, avec un accent sur les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sources et la hiérarchie des normes</w:t>
            </w:r>
            <w:r w:rsidRPr="00AA774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0864EFB0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sz w:val="20"/>
                <w:szCs w:val="20"/>
              </w:rPr>
              <w:t xml:space="preserve">L’approche devient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par compétences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: le droit social est enseigné à travers des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situations de conseil à l’employeur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, intégrant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droit du travail et protection sociale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. La séparation entre droit individuel et collectif disparaît au profit d’une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vision globale de la relation de travail</w:t>
            </w:r>
            <w:r w:rsidRPr="00AA774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234BD5DB" w14:textId="3DC4358A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sz w:val="20"/>
                <w:szCs w:val="20"/>
              </w:rPr>
              <w:t xml:space="preserve">Transformation majeure : le droit social devient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un outil d’accompagnement de l’entreprise</w:t>
            </w:r>
            <w:r w:rsidRPr="00AA7749">
              <w:rPr>
                <w:rFonts w:ascii="Calibri" w:hAnsi="Calibri" w:cs="Calibri"/>
                <w:sz w:val="20"/>
                <w:szCs w:val="20"/>
              </w:rPr>
              <w:t>, et non plus un champ théorique. Disparition de la division «individuel/collectif».</w:t>
            </w:r>
          </w:p>
        </w:tc>
      </w:tr>
      <w:tr w:rsidR="00AA7749" w:rsidRPr="00AA7749" w14:paraId="359AC677" w14:textId="77777777" w:rsidTr="00AA7749">
        <w:tc>
          <w:tcPr>
            <w:tcW w:w="0" w:type="auto"/>
            <w:hideMark/>
          </w:tcPr>
          <w:p w14:paraId="5DD54E43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UE4 – Droit fiscal</w:t>
            </w:r>
          </w:p>
        </w:tc>
        <w:tc>
          <w:tcPr>
            <w:tcW w:w="0" w:type="auto"/>
            <w:hideMark/>
          </w:tcPr>
          <w:p w14:paraId="5B284EDC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sz w:val="20"/>
                <w:szCs w:val="20"/>
              </w:rPr>
              <w:t xml:space="preserve">L’étude du droit fiscal a une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finalité civique et économique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: comprendre les sources de l’impôt, ses classifications et son rôle dans le financement public. L’enseignement vise la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maîtrise des règles fiscales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applicables aux particuliers et entreprises.</w:t>
            </w:r>
          </w:p>
        </w:tc>
        <w:tc>
          <w:tcPr>
            <w:tcW w:w="0" w:type="auto"/>
            <w:hideMark/>
          </w:tcPr>
          <w:p w14:paraId="346624B1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sz w:val="20"/>
                <w:szCs w:val="20"/>
              </w:rPr>
              <w:t xml:space="preserve">L’UE 4 s’ancre dans une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logique de compétences métiers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: accompagner le contribuable et conduire les obligations fiscales. Elle met l’accent sur la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pratique professionnelle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(veille, relations avec l’administration, compréhension des formulaires, simulation via tableur) et sur la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pédagogie par l’action</w:t>
            </w:r>
            <w:r w:rsidRPr="00AA774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4D9A5AD0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sz w:val="20"/>
                <w:szCs w:val="20"/>
              </w:rPr>
              <w:t xml:space="preserve">Passage d’une logique de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savoir juridique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à une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logique d’action professionnelle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intégrant les outils numériques et la veille.</w:t>
            </w:r>
          </w:p>
        </w:tc>
      </w:tr>
      <w:tr w:rsidR="00AA7749" w:rsidRPr="00AA7749" w14:paraId="4393EB8E" w14:textId="77777777" w:rsidTr="00AA7749">
        <w:tc>
          <w:tcPr>
            <w:tcW w:w="0" w:type="auto"/>
            <w:hideMark/>
          </w:tcPr>
          <w:p w14:paraId="0DBC8219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UE5 – Économie contemporaine</w:t>
            </w:r>
          </w:p>
        </w:tc>
        <w:tc>
          <w:tcPr>
            <w:tcW w:w="0" w:type="auto"/>
            <w:hideMark/>
          </w:tcPr>
          <w:p w14:paraId="13D7BBC5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sz w:val="20"/>
                <w:szCs w:val="20"/>
              </w:rPr>
              <w:t xml:space="preserve">L’UE vise la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compréhension de l’environnement économique et social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des organisations. L’accent est mis sur les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fondements théoriques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(micro, macro, croissance, politiques économiques) et la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culture générale économique</w:t>
            </w:r>
            <w:r w:rsidRPr="00AA774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564B415E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sz w:val="20"/>
                <w:szCs w:val="20"/>
              </w:rPr>
              <w:t xml:space="preserve">L’UE est centrée sur les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compétences professionnelles économiques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 : savoir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analyser, débattre, argumenter, et actualiser sa culture économique</w:t>
            </w:r>
            <w:r w:rsidRPr="00AA7749">
              <w:rPr>
                <w:rFonts w:ascii="Calibri" w:hAnsi="Calibri" w:cs="Calibri"/>
                <w:sz w:val="20"/>
                <w:szCs w:val="20"/>
              </w:rPr>
              <w:t xml:space="preserve">. L’approche par compétences remplace la logique de cours magistral : on cherche à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relier concepts et réalités contemporaines</w:t>
            </w:r>
            <w:r w:rsidRPr="00AA774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201793F5" w14:textId="77777777" w:rsidR="00AA7749" w:rsidRPr="00AA7749" w:rsidRDefault="00AA7749" w:rsidP="00AA774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A7749">
              <w:rPr>
                <w:rFonts w:ascii="Calibri" w:hAnsi="Calibri" w:cs="Calibri"/>
                <w:sz w:val="20"/>
                <w:szCs w:val="20"/>
              </w:rPr>
              <w:t xml:space="preserve">L’enseignement passe d’une approche conceptuelle à une </w:t>
            </w:r>
            <w:r w:rsidRPr="00AA7749">
              <w:rPr>
                <w:rFonts w:ascii="Calibri" w:hAnsi="Calibri" w:cs="Calibri"/>
                <w:b/>
                <w:bCs/>
                <w:sz w:val="20"/>
                <w:szCs w:val="20"/>
              </w:rPr>
              <w:t>culture économique appliquée et critique</w:t>
            </w:r>
            <w:r w:rsidRPr="00AA7749">
              <w:rPr>
                <w:rFonts w:ascii="Calibri" w:hAnsi="Calibri" w:cs="Calibri"/>
                <w:sz w:val="20"/>
                <w:szCs w:val="20"/>
              </w:rPr>
              <w:t>, mobilisable dans le conseil et l’analyse d’entreprise.</w:t>
            </w:r>
          </w:p>
        </w:tc>
      </w:tr>
      <w:tr w:rsidR="00AE0779" w:rsidRPr="00AE0779" w14:paraId="1BACD14E" w14:textId="77777777" w:rsidTr="00AE0779">
        <w:tc>
          <w:tcPr>
            <w:tcW w:w="0" w:type="auto"/>
            <w:hideMark/>
          </w:tcPr>
          <w:p w14:paraId="3209C28F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UE6 – Finance d’entreprise</w:t>
            </w:r>
          </w:p>
        </w:tc>
        <w:tc>
          <w:tcPr>
            <w:tcW w:w="0" w:type="auto"/>
            <w:hideMark/>
          </w:tcPr>
          <w:p w14:paraId="3B79C097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L’UE vise la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compréhension des mécanismes financiers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 de l’entreprise : structure financière, investissement, financement, rentabilité. Elle cherche à développer une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capacité d’analyse chiffrée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 et une maîtrise des outils fondamentaux de la décision financière.</w:t>
            </w:r>
          </w:p>
        </w:tc>
        <w:tc>
          <w:tcPr>
            <w:tcW w:w="0" w:type="auto"/>
            <w:hideMark/>
          </w:tcPr>
          <w:p w14:paraId="48DE3620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L’UE met désormais l’accent sur la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prise de décision en contexte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 : diagnostic financier et extra-financier, intégration des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critères ESG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, utilisation des outils numériques et compréhension des enjeux de durabilité. L’approche est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transversale et professionnalisante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0FCF383A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Passage d’une logique d’analyse technique à une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logique de pilotage stratégique et durable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>, intégrant la finance responsable.</w:t>
            </w:r>
          </w:p>
        </w:tc>
      </w:tr>
      <w:tr w:rsidR="00AE0779" w:rsidRPr="00AE0779" w14:paraId="608BB7B2" w14:textId="77777777" w:rsidTr="00AE0779">
        <w:tc>
          <w:tcPr>
            <w:tcW w:w="0" w:type="auto"/>
            <w:hideMark/>
          </w:tcPr>
          <w:p w14:paraId="4FE654B5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UE7 – Management</w:t>
            </w:r>
          </w:p>
        </w:tc>
        <w:tc>
          <w:tcPr>
            <w:tcW w:w="0" w:type="auto"/>
            <w:hideMark/>
          </w:tcPr>
          <w:p w14:paraId="524C8682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L’UE aborde les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fondements du management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 : fonctions, styles de direction, organisation, communication, motivation. Elle vise à donner une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culture managériale générale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>, utile à la compréhension des structures et des comportements.</w:t>
            </w:r>
          </w:p>
        </w:tc>
        <w:tc>
          <w:tcPr>
            <w:tcW w:w="0" w:type="auto"/>
            <w:hideMark/>
          </w:tcPr>
          <w:p w14:paraId="5CD11280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L’UE se recentre sur la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dynamique du management stratégique et opérationnel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 : pilotage du changement, gestion de projet, leadership, gouvernance, innovation. Elle relie les notions théoriques à des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situations professionnelles concrètes</w:t>
            </w:r>
            <w:r w:rsidRPr="00AE0779">
              <w:rPr>
                <w:rFonts w:ascii="Calibri" w:hAnsi="Calibri" w:cs="Calibri"/>
                <w:sz w:val="20"/>
                <w:szCs w:val="20"/>
              </w:rPr>
              <w:t>, avec une approche compétence.</w:t>
            </w:r>
          </w:p>
        </w:tc>
        <w:tc>
          <w:tcPr>
            <w:tcW w:w="0" w:type="auto"/>
            <w:hideMark/>
          </w:tcPr>
          <w:p w14:paraId="5BBF9A35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Évolution vers un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management contextualisé, agile et centré sur la transformation organisationnelle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E0779" w:rsidRPr="00AE0779" w14:paraId="0D6B3CDB" w14:textId="77777777" w:rsidTr="00AE0779">
        <w:tc>
          <w:tcPr>
            <w:tcW w:w="0" w:type="auto"/>
            <w:hideMark/>
          </w:tcPr>
          <w:p w14:paraId="6B131CB3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UE8 – Systèmes d’information de gestion (SIG)</w:t>
            </w:r>
          </w:p>
        </w:tc>
        <w:tc>
          <w:tcPr>
            <w:tcW w:w="0" w:type="auto"/>
            <w:hideMark/>
          </w:tcPr>
          <w:p w14:paraId="5740F497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Objectif : comprendre la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place du système d’information dans la gestion de l’entreprise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>, maîtriser les concepts de base (données, processus, sécurité) et savoir dialoguer avec les informaticiens.</w:t>
            </w:r>
          </w:p>
        </w:tc>
        <w:tc>
          <w:tcPr>
            <w:tcW w:w="0" w:type="auto"/>
            <w:hideMark/>
          </w:tcPr>
          <w:p w14:paraId="71F41E8B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L’UE s’oriente vers les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outils numériques appliqués à la gestion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, la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maîtrise des flux de données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 et la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gouvernance de l’information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. Elle intègre la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digitalisation des processus comptables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 et la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cybersécurité</w:t>
            </w:r>
            <w:r w:rsidRPr="00AE0779">
              <w:rPr>
                <w:rFonts w:ascii="Calibri" w:hAnsi="Calibri" w:cs="Calibri"/>
                <w:sz w:val="20"/>
                <w:szCs w:val="20"/>
              </w:rPr>
              <w:t>, avec un lien fort avec la pratique professionnelle.</w:t>
            </w:r>
          </w:p>
        </w:tc>
        <w:tc>
          <w:tcPr>
            <w:tcW w:w="0" w:type="auto"/>
            <w:hideMark/>
          </w:tcPr>
          <w:p w14:paraId="3D44A498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Passage d’une approche théorique des SIG à une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approche numérique intégrée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, orientée vers la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data, la conformité et la sécurité</w:t>
            </w:r>
            <w:r w:rsidRPr="00AE07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E0779" w:rsidRPr="00AE0779" w14:paraId="4D504629" w14:textId="77777777" w:rsidTr="00AE0779">
        <w:tc>
          <w:tcPr>
            <w:tcW w:w="0" w:type="auto"/>
            <w:hideMark/>
          </w:tcPr>
          <w:p w14:paraId="660A44AB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UE9 – Comptabilité</w:t>
            </w:r>
          </w:p>
        </w:tc>
        <w:tc>
          <w:tcPr>
            <w:tcW w:w="0" w:type="auto"/>
            <w:hideMark/>
          </w:tcPr>
          <w:p w14:paraId="32F94D48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L’UE vise la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maîtrise des bases de la comptabilité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, la compréhension du cadre légal (PCG, normalisation) et la capacité à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enregistrer les opérations courantes et d’inventaire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211691FC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L’UE conserve la même structure mais devient plus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méthodologique et numérique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 : automatisation des traitements, dématérialisation, contrôle des données comptables et maîtrise du processus d’information financière.</w:t>
            </w:r>
          </w:p>
        </w:tc>
        <w:tc>
          <w:tcPr>
            <w:tcW w:w="0" w:type="auto"/>
            <w:hideMark/>
          </w:tcPr>
          <w:p w14:paraId="79EB2751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Passage d’une logique d’apprentissage manuel des écritures à une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logique de production numérique et de contrôle de la donnée comptable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E0779" w:rsidRPr="00AE0779" w14:paraId="5502023C" w14:textId="77777777" w:rsidTr="00AE0779">
        <w:tc>
          <w:tcPr>
            <w:tcW w:w="0" w:type="auto"/>
            <w:hideMark/>
          </w:tcPr>
          <w:p w14:paraId="1BA076ED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UE10 – Comptabilité approfondie</w:t>
            </w:r>
          </w:p>
        </w:tc>
        <w:tc>
          <w:tcPr>
            <w:tcW w:w="0" w:type="auto"/>
            <w:hideMark/>
          </w:tcPr>
          <w:p w14:paraId="75FF2861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>L’objectif est d’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approfondir les normes et traitements comptables complexes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 (consolidation, restructuration, capitaux propres, provisions…). L’approche est technique et centrée sur les textes du PCG et les IFRS.</w:t>
            </w:r>
          </w:p>
        </w:tc>
        <w:tc>
          <w:tcPr>
            <w:tcW w:w="0" w:type="auto"/>
            <w:hideMark/>
          </w:tcPr>
          <w:p w14:paraId="58BCF99D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L’UE met davantage l’accent sur la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cohérence entre information comptable et prise de décision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, la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fiabilité de la donnée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, et l’intégration d’outils numériques pour l’analyse. Elle conserve une base théorique solide tout en renforçant la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dimension pratique et analytique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64C0D6EC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Évolution vers une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approche interprétative et numérique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 : la comptabilité devient un outil de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pilotage et de fiabilité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 de l’information.</w:t>
            </w:r>
          </w:p>
        </w:tc>
      </w:tr>
      <w:tr w:rsidR="00AE0779" w:rsidRPr="00AE0779" w14:paraId="08F34D29" w14:textId="77777777" w:rsidTr="00AE0779">
        <w:tc>
          <w:tcPr>
            <w:tcW w:w="0" w:type="auto"/>
            <w:hideMark/>
          </w:tcPr>
          <w:p w14:paraId="491CA438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UE11 – Contrôle de gestion</w:t>
            </w:r>
          </w:p>
        </w:tc>
        <w:tc>
          <w:tcPr>
            <w:tcW w:w="0" w:type="auto"/>
            <w:hideMark/>
          </w:tcPr>
          <w:p w14:paraId="6AD4CBD0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L’UE développe la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maîtrise des outils d’analyse des coûts et de performance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, dans une logique d’aide à la décision. Le contrôleur de gestion est perçu comme un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technicien de la mesure économique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009BD1BE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L’UE repositionne le contrôle de gestion dans le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pilotage global de la performance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, intégrant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dimensions sociales et environnementales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indicateurs extra-financiers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 et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tableaux de bord dynamiques</w:t>
            </w:r>
            <w:r w:rsidRPr="00AE07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74CA1E24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Passage d’un contrôle de gestion centré sur les coûts à un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pilotage de la performance durable et stratégique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E0779" w:rsidRPr="00AE0779" w14:paraId="538F9E25" w14:textId="77777777" w:rsidTr="00AE0779">
        <w:tc>
          <w:tcPr>
            <w:tcW w:w="0" w:type="auto"/>
            <w:hideMark/>
          </w:tcPr>
          <w:p w14:paraId="78E3C321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UE12 – Anglais des affaires</w:t>
            </w:r>
          </w:p>
        </w:tc>
        <w:tc>
          <w:tcPr>
            <w:tcW w:w="0" w:type="auto"/>
            <w:hideMark/>
          </w:tcPr>
          <w:p w14:paraId="54C1D3C1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L’enseignement vise la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communication écrite et orale dans un contexte professionnel international</w:t>
            </w:r>
            <w:r w:rsidRPr="00AE0779">
              <w:rPr>
                <w:rFonts w:ascii="Calibri" w:hAnsi="Calibri" w:cs="Calibri"/>
                <w:sz w:val="20"/>
                <w:szCs w:val="20"/>
              </w:rPr>
              <w:t>, avec une approche linguistique centrée sur les documents économiques et comptables.</w:t>
            </w:r>
          </w:p>
        </w:tc>
        <w:tc>
          <w:tcPr>
            <w:tcW w:w="0" w:type="auto"/>
            <w:hideMark/>
          </w:tcPr>
          <w:p w14:paraId="2AE57C3D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L’UE devient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Anglais appliqué à la profession comptable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 : l’objectif est de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communiquer efficacement dans les missions du cabinet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 (audit, reporting, conseil, réunion client). Accent sur les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compétences orales, interculturelles et numériques</w:t>
            </w:r>
            <w:r w:rsidRPr="00AE07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40DC03EE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Renforcement de la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dimension professionnelle et orale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 ; passage de l’anglais général à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l’anglais métier</w:t>
            </w:r>
            <w:r w:rsidRPr="00AE07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E0779" w:rsidRPr="00AE0779" w14:paraId="09DF35BD" w14:textId="77777777" w:rsidTr="00AE0779">
        <w:tc>
          <w:tcPr>
            <w:tcW w:w="0" w:type="auto"/>
            <w:hideMark/>
          </w:tcPr>
          <w:p w14:paraId="47B2E5BB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UE13 – Communication professionnelle / Rapport de stage</w:t>
            </w:r>
          </w:p>
        </w:tc>
        <w:tc>
          <w:tcPr>
            <w:tcW w:w="0" w:type="auto"/>
            <w:hideMark/>
          </w:tcPr>
          <w:p w14:paraId="35240D2D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Le rapport de stage vise à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analyser un processus de gestion ou comptable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, à développer la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rédaction professionnelle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>, et à initier à la communication orale devant un jury.</w:t>
            </w:r>
          </w:p>
        </w:tc>
        <w:tc>
          <w:tcPr>
            <w:tcW w:w="0" w:type="auto"/>
            <w:hideMark/>
          </w:tcPr>
          <w:p w14:paraId="431A53CF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L’UE devient une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UE de communication professionnelle intégrée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 : elle associe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expression écrite, orale et numérique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, en lien direct avec le stage. Le rapport devient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un outil d’analyse et de valorisation des compétences</w:t>
            </w:r>
            <w:r w:rsidRPr="00AE0779">
              <w:rPr>
                <w:rFonts w:ascii="Calibri" w:hAnsi="Calibri" w:cs="Calibri"/>
                <w:sz w:val="20"/>
                <w:szCs w:val="20"/>
              </w:rPr>
              <w:t xml:space="preserve"> du candidat.</w:t>
            </w:r>
          </w:p>
        </w:tc>
        <w:tc>
          <w:tcPr>
            <w:tcW w:w="0" w:type="auto"/>
            <w:hideMark/>
          </w:tcPr>
          <w:p w14:paraId="640E0B95" w14:textId="77777777" w:rsidR="00AE0779" w:rsidRPr="00AE0779" w:rsidRDefault="00AE0779" w:rsidP="00AE077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AE0779">
              <w:rPr>
                <w:rFonts w:ascii="Calibri" w:hAnsi="Calibri" w:cs="Calibri"/>
                <w:sz w:val="20"/>
                <w:szCs w:val="20"/>
              </w:rPr>
              <w:t xml:space="preserve">Passage d’un exercice scolaire à un </w:t>
            </w:r>
            <w:r w:rsidRPr="00AE0779">
              <w:rPr>
                <w:rFonts w:ascii="Calibri" w:hAnsi="Calibri" w:cs="Calibri"/>
                <w:b/>
                <w:bCs/>
                <w:sz w:val="20"/>
                <w:szCs w:val="20"/>
              </w:rPr>
              <w:t>outil de professionnalisation et de valorisation des compétences du stagiaire</w:t>
            </w:r>
            <w:r w:rsidRPr="00AE077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5BAC8BBB" w14:textId="75FB1420" w:rsidR="00DE405B" w:rsidRDefault="00DE405B" w:rsidP="00DE405B"/>
    <w:p w14:paraId="656EA6C5" w14:textId="57760241" w:rsidR="004C64F9" w:rsidRPr="004C64F9" w:rsidRDefault="004C64F9" w:rsidP="004C64F9">
      <w:pPr>
        <w:rPr>
          <w:b/>
          <w:bCs/>
        </w:rPr>
      </w:pPr>
      <w:r w:rsidRPr="004C64F9">
        <w:rPr>
          <w:b/>
          <w:bCs/>
        </w:rPr>
        <w:t>Comparaison détaillée UE par UE – DCG 2019 / DCG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1"/>
        <w:gridCol w:w="2572"/>
        <w:gridCol w:w="2519"/>
        <w:gridCol w:w="3514"/>
      </w:tblGrid>
      <w:tr w:rsidR="004C64F9" w:rsidRPr="004C64F9" w14:paraId="0AD87564" w14:textId="77777777" w:rsidTr="004C64F9">
        <w:trPr>
          <w:tblHeader/>
        </w:trPr>
        <w:tc>
          <w:tcPr>
            <w:tcW w:w="0" w:type="auto"/>
            <w:hideMark/>
          </w:tcPr>
          <w:p w14:paraId="6100C861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UE</w:t>
            </w:r>
          </w:p>
        </w:tc>
        <w:tc>
          <w:tcPr>
            <w:tcW w:w="0" w:type="auto"/>
            <w:hideMark/>
          </w:tcPr>
          <w:p w14:paraId="761411E5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Ce qui reste commun</w:t>
            </w:r>
          </w:p>
        </w:tc>
        <w:tc>
          <w:tcPr>
            <w:tcW w:w="0" w:type="auto"/>
            <w:hideMark/>
          </w:tcPr>
          <w:p w14:paraId="7AFF642A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Ce qui disparaît</w:t>
            </w:r>
          </w:p>
        </w:tc>
        <w:tc>
          <w:tcPr>
            <w:tcW w:w="0" w:type="auto"/>
            <w:hideMark/>
          </w:tcPr>
          <w:p w14:paraId="32B2A7B4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Ce qui apparaît</w:t>
            </w:r>
          </w:p>
        </w:tc>
      </w:tr>
      <w:tr w:rsidR="004C64F9" w:rsidRPr="004C64F9" w14:paraId="4C734EBD" w14:textId="77777777" w:rsidTr="004C64F9">
        <w:tc>
          <w:tcPr>
            <w:tcW w:w="0" w:type="auto"/>
            <w:hideMark/>
          </w:tcPr>
          <w:p w14:paraId="2D1C3E5E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UE1 – Fondamentaux du droit</w:t>
            </w:r>
          </w:p>
        </w:tc>
        <w:tc>
          <w:tcPr>
            <w:tcW w:w="0" w:type="auto"/>
            <w:hideMark/>
          </w:tcPr>
          <w:p w14:paraId="2F91691A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Bases du droit privé : sources, hiérarchie, contrat, responsabilité, preuve. - Rôle formateur de la règle de droit et du raisonnement juridique.</w:t>
            </w:r>
          </w:p>
        </w:tc>
        <w:tc>
          <w:tcPr>
            <w:tcW w:w="0" w:type="auto"/>
            <w:hideMark/>
          </w:tcPr>
          <w:p w14:paraId="7879D2D3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Étude détaillée des régimes (personnes morales, baux, fonds de commerce). - Approche encyclopédique du droit civil.</w:t>
            </w:r>
          </w:p>
        </w:tc>
        <w:tc>
          <w:tcPr>
            <w:tcW w:w="0" w:type="auto"/>
            <w:hideMark/>
          </w:tcPr>
          <w:p w14:paraId="7499D452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Approche par compétences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 : accompagnement du client, raisonnement appliqué. -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Logique de conseil juridique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 et analyse de situations. - Intégration explicite des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compétences transversales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 : veille, interprétation, argumentation.</w:t>
            </w:r>
          </w:p>
        </w:tc>
      </w:tr>
      <w:tr w:rsidR="004C64F9" w:rsidRPr="004C64F9" w14:paraId="2CA80575" w14:textId="77777777" w:rsidTr="004C64F9">
        <w:tc>
          <w:tcPr>
            <w:tcW w:w="0" w:type="auto"/>
            <w:hideMark/>
          </w:tcPr>
          <w:p w14:paraId="7EA099B9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UE2 – Droit des sociétés / Droit des affaires</w:t>
            </w:r>
          </w:p>
        </w:tc>
        <w:tc>
          <w:tcPr>
            <w:tcW w:w="0" w:type="auto"/>
            <w:hideMark/>
          </w:tcPr>
          <w:p w14:paraId="72365214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Étude de la société comme personne morale. - Constitution, fonctionnement, transformation, dissolution. - Responsabilités et pouvoirs des dirigeants.</w:t>
            </w:r>
          </w:p>
        </w:tc>
        <w:tc>
          <w:tcPr>
            <w:tcW w:w="0" w:type="auto"/>
            <w:hideMark/>
          </w:tcPr>
          <w:p w14:paraId="28F7BD7B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Droit des groupements non commerciaux (GIE, associations). - Étude des procédures collectives. - Approche exhaustive des types de sociétés.</w:t>
            </w:r>
          </w:p>
        </w:tc>
        <w:tc>
          <w:tcPr>
            <w:tcW w:w="0" w:type="auto"/>
            <w:hideMark/>
          </w:tcPr>
          <w:p w14:paraId="432CE708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 xml:space="preserve">- Changement de titre :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« Droit des affaires »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. - Introduction d’une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logique de cas concrets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 (accompagner un client, choisir une forme). - Intégration de la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responsabilité pénale en entreprise</w:t>
            </w:r>
            <w:r w:rsidRPr="004C64F9">
              <w:rPr>
                <w:rFonts w:ascii="Calibri" w:hAnsi="Calibri" w:cs="Calibri"/>
                <w:sz w:val="20"/>
                <w:szCs w:val="20"/>
              </w:rPr>
              <w:t>. - Rationalisation du contenu pour cohérence avec DSCG.</w:t>
            </w:r>
          </w:p>
        </w:tc>
      </w:tr>
      <w:tr w:rsidR="004C64F9" w:rsidRPr="004C64F9" w14:paraId="32B868DC" w14:textId="77777777" w:rsidTr="004C64F9">
        <w:tc>
          <w:tcPr>
            <w:tcW w:w="0" w:type="auto"/>
            <w:hideMark/>
          </w:tcPr>
          <w:p w14:paraId="44E63464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UE3 – Droit social</w:t>
            </w:r>
          </w:p>
        </w:tc>
        <w:tc>
          <w:tcPr>
            <w:tcW w:w="0" w:type="auto"/>
            <w:hideMark/>
          </w:tcPr>
          <w:p w14:paraId="4E74C6D4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Étude du contrat de travail, de sa formation à sa rupture. - Institutions représentatives du personnel. - Principes de protection du salarié.</w:t>
            </w:r>
          </w:p>
        </w:tc>
        <w:tc>
          <w:tcPr>
            <w:tcW w:w="0" w:type="auto"/>
            <w:hideMark/>
          </w:tcPr>
          <w:p w14:paraId="70FC9F6F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Séparation stricte droit individuel / collectif. - Détails sur certains contentieux et régimes particuliers.</w:t>
            </w:r>
          </w:p>
        </w:tc>
        <w:tc>
          <w:tcPr>
            <w:tcW w:w="0" w:type="auto"/>
            <w:hideMark/>
          </w:tcPr>
          <w:p w14:paraId="267D5F29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Fusion du droit du travail et de la protection sociale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. - Étude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par situations professionnelles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. - Introduction de la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santé au travail, diversité, égalité femmes-hommes</w:t>
            </w:r>
            <w:r w:rsidRPr="004C64F9">
              <w:rPr>
                <w:rFonts w:ascii="Calibri" w:hAnsi="Calibri" w:cs="Calibri"/>
                <w:sz w:val="20"/>
                <w:szCs w:val="20"/>
              </w:rPr>
              <w:t>, harcèlement. - Accent sur le rôle de conseil à l’employeur.</w:t>
            </w:r>
          </w:p>
        </w:tc>
      </w:tr>
      <w:tr w:rsidR="004C64F9" w:rsidRPr="004C64F9" w14:paraId="569B5B30" w14:textId="77777777" w:rsidTr="004C64F9">
        <w:tc>
          <w:tcPr>
            <w:tcW w:w="0" w:type="auto"/>
            <w:hideMark/>
          </w:tcPr>
          <w:p w14:paraId="679B85E7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UE4 – Droit fiscal</w:t>
            </w:r>
          </w:p>
        </w:tc>
        <w:tc>
          <w:tcPr>
            <w:tcW w:w="0" w:type="auto"/>
            <w:hideMark/>
          </w:tcPr>
          <w:p w14:paraId="546CE1C8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Étude des principaux impôts : TVA, IS, IR, CET. - Rôle de la fiscalité dans la gestion d’entreprise.</w:t>
            </w:r>
          </w:p>
        </w:tc>
        <w:tc>
          <w:tcPr>
            <w:tcW w:w="0" w:type="auto"/>
            <w:hideMark/>
          </w:tcPr>
          <w:p w14:paraId="701EA0F3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Étude historique et exhaustive des textes. - Certains régimes particuliers (TVA sur marge, régimes spéciaux).</w:t>
            </w:r>
          </w:p>
        </w:tc>
        <w:tc>
          <w:tcPr>
            <w:tcW w:w="0" w:type="auto"/>
            <w:hideMark/>
          </w:tcPr>
          <w:p w14:paraId="62118EAD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Approche “accompagnement fiscal”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 : conseiller le contribuable, gérer un agenda fiscal. -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Dimension éthique et relation avec l’administration.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 - Utilisation du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simulateur, tableur et veille documentaire</w:t>
            </w:r>
            <w:r w:rsidRPr="004C64F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4C64F9" w:rsidRPr="004C64F9" w14:paraId="2AE4E0D1" w14:textId="77777777" w:rsidTr="004C64F9">
        <w:tc>
          <w:tcPr>
            <w:tcW w:w="0" w:type="auto"/>
            <w:hideMark/>
          </w:tcPr>
          <w:p w14:paraId="21062033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UE5 – Économie contemporaine</w:t>
            </w:r>
          </w:p>
        </w:tc>
        <w:tc>
          <w:tcPr>
            <w:tcW w:w="0" w:type="auto"/>
            <w:hideMark/>
          </w:tcPr>
          <w:p w14:paraId="030DFD41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Fondements de la micro et macroéconomie. - Croissance, chômage, politiques économiques.</w:t>
            </w:r>
          </w:p>
        </w:tc>
        <w:tc>
          <w:tcPr>
            <w:tcW w:w="0" w:type="auto"/>
            <w:hideMark/>
          </w:tcPr>
          <w:p w14:paraId="4AB946FB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Analyses mathématiques et formalisées. - Développements théoriques lourds.</w:t>
            </w:r>
          </w:p>
        </w:tc>
        <w:tc>
          <w:tcPr>
            <w:tcW w:w="0" w:type="auto"/>
            <w:hideMark/>
          </w:tcPr>
          <w:p w14:paraId="40E4F702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 xml:space="preserve">- Approche par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compétences économiques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 (analyser, débattre, argumenter). - Introduction des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enjeux environnementaux, ESS, économie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circulaire, mondialisation</w:t>
            </w:r>
            <w:r w:rsidRPr="004C64F9">
              <w:rPr>
                <w:rFonts w:ascii="Calibri" w:hAnsi="Calibri" w:cs="Calibri"/>
                <w:sz w:val="20"/>
                <w:szCs w:val="20"/>
              </w:rPr>
              <w:t>. - Évaluation via étude de documents et cas réels.</w:t>
            </w:r>
          </w:p>
        </w:tc>
      </w:tr>
      <w:tr w:rsidR="004C64F9" w:rsidRPr="004C64F9" w14:paraId="7676A72D" w14:textId="77777777" w:rsidTr="004C64F9">
        <w:tc>
          <w:tcPr>
            <w:tcW w:w="0" w:type="auto"/>
            <w:hideMark/>
          </w:tcPr>
          <w:p w14:paraId="29918AA4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UE6 – Finance d’entreprise</w:t>
            </w:r>
          </w:p>
        </w:tc>
        <w:tc>
          <w:tcPr>
            <w:tcW w:w="0" w:type="auto"/>
            <w:hideMark/>
          </w:tcPr>
          <w:p w14:paraId="4F8091D0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Diagnostic financier, structure financière, investissements, coûts du capital.</w:t>
            </w:r>
          </w:p>
        </w:tc>
        <w:tc>
          <w:tcPr>
            <w:tcW w:w="0" w:type="auto"/>
            <w:hideMark/>
          </w:tcPr>
          <w:p w14:paraId="1266C968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Traitements purement calculatoires. - Analyse mécanique des ratios sans interprétation.</w:t>
            </w:r>
          </w:p>
        </w:tc>
        <w:tc>
          <w:tcPr>
            <w:tcW w:w="0" w:type="auto"/>
            <w:hideMark/>
          </w:tcPr>
          <w:p w14:paraId="0C496364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Intégration des critères ESG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 et de la finance durable. - Lien direct entre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diagnostic et décision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. - Utilisation d’outils numériques et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analyse extra-financière</w:t>
            </w:r>
            <w:r w:rsidRPr="004C64F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4C64F9" w:rsidRPr="004C64F9" w14:paraId="47034873" w14:textId="77777777" w:rsidTr="004C64F9">
        <w:tc>
          <w:tcPr>
            <w:tcW w:w="0" w:type="auto"/>
            <w:hideMark/>
          </w:tcPr>
          <w:p w14:paraId="40F85DDD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UE7 – Management</w:t>
            </w:r>
          </w:p>
        </w:tc>
        <w:tc>
          <w:tcPr>
            <w:tcW w:w="0" w:type="auto"/>
            <w:hideMark/>
          </w:tcPr>
          <w:p w14:paraId="1335AC26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Concepts clés : organisation, motivation, styles de direction, stratégie.</w:t>
            </w:r>
          </w:p>
        </w:tc>
        <w:tc>
          <w:tcPr>
            <w:tcW w:w="0" w:type="auto"/>
            <w:hideMark/>
          </w:tcPr>
          <w:p w14:paraId="0D19DE83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Étude académique de la typologie des auteurs (Taylor, Fayol, etc.) sans application.</w:t>
            </w:r>
          </w:p>
        </w:tc>
        <w:tc>
          <w:tcPr>
            <w:tcW w:w="0" w:type="auto"/>
            <w:hideMark/>
          </w:tcPr>
          <w:p w14:paraId="3479FD9D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 xml:space="preserve">- Accent sur le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management du changement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gestion de projet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leadership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innovation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. - Approche plus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transversale et comportementale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 (soft skills).</w:t>
            </w:r>
          </w:p>
        </w:tc>
      </w:tr>
      <w:tr w:rsidR="004C64F9" w:rsidRPr="004C64F9" w14:paraId="3C50E228" w14:textId="77777777" w:rsidTr="004C64F9">
        <w:tc>
          <w:tcPr>
            <w:tcW w:w="0" w:type="auto"/>
            <w:hideMark/>
          </w:tcPr>
          <w:p w14:paraId="63FF4A81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UE8 – Systèmes d’information de gestion</w:t>
            </w:r>
          </w:p>
        </w:tc>
        <w:tc>
          <w:tcPr>
            <w:tcW w:w="0" w:type="auto"/>
            <w:hideMark/>
          </w:tcPr>
          <w:p w14:paraId="53DA11D3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Rôle du système d’information dans la gestion. - Notions de données, processus, sécurité.</w:t>
            </w:r>
          </w:p>
        </w:tc>
        <w:tc>
          <w:tcPr>
            <w:tcW w:w="0" w:type="auto"/>
            <w:hideMark/>
          </w:tcPr>
          <w:p w14:paraId="6FEAB91F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Aspects techniques obsolètes (bases de données, réseaux).</w:t>
            </w:r>
          </w:p>
        </w:tc>
        <w:tc>
          <w:tcPr>
            <w:tcW w:w="0" w:type="auto"/>
            <w:hideMark/>
          </w:tcPr>
          <w:p w14:paraId="1ACCC291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Numérisation, automatisation, RGPD, cybersécurité, gouvernance de la donnée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. - Accent sur le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contrôle interne numérique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 et la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traçabilité de l’information comptable</w:t>
            </w:r>
            <w:r w:rsidRPr="004C64F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4C64F9" w:rsidRPr="004C64F9" w14:paraId="304C9C99" w14:textId="77777777" w:rsidTr="004C64F9">
        <w:tc>
          <w:tcPr>
            <w:tcW w:w="0" w:type="auto"/>
            <w:hideMark/>
          </w:tcPr>
          <w:p w14:paraId="0600FC31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UE9 – Comptabilité</w:t>
            </w:r>
          </w:p>
        </w:tc>
        <w:tc>
          <w:tcPr>
            <w:tcW w:w="0" w:type="auto"/>
            <w:hideMark/>
          </w:tcPr>
          <w:p w14:paraId="6ED7873D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Principes de la comptabilité financière et plan comptable général. - Enregistrement des opérations courantes et d’inventaire.</w:t>
            </w:r>
          </w:p>
        </w:tc>
        <w:tc>
          <w:tcPr>
            <w:tcW w:w="0" w:type="auto"/>
            <w:hideMark/>
          </w:tcPr>
          <w:p w14:paraId="5D6C2C24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Écriture manuelle systématique, présentation classique des journaux.</w:t>
            </w:r>
          </w:p>
        </w:tc>
        <w:tc>
          <w:tcPr>
            <w:tcW w:w="0" w:type="auto"/>
            <w:hideMark/>
          </w:tcPr>
          <w:p w14:paraId="19E63A05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 xml:space="preserve">- Introduction de la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dématérialisation, automatisation et contrôle de cohérence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. - Apprentissage du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cycle de l’information comptable numérique</w:t>
            </w:r>
            <w:r w:rsidRPr="004C64F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4C64F9" w:rsidRPr="004C64F9" w14:paraId="5E4BB77D" w14:textId="77777777" w:rsidTr="004C64F9">
        <w:tc>
          <w:tcPr>
            <w:tcW w:w="0" w:type="auto"/>
            <w:hideMark/>
          </w:tcPr>
          <w:p w14:paraId="062057B4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UE10 – Comptabilité approfondie</w:t>
            </w:r>
          </w:p>
        </w:tc>
        <w:tc>
          <w:tcPr>
            <w:tcW w:w="0" w:type="auto"/>
            <w:hideMark/>
          </w:tcPr>
          <w:p w14:paraId="21D137C2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Consolidation, restructurations, opérations de haut de bilan, provisions, immobilisations.</w:t>
            </w:r>
          </w:p>
        </w:tc>
        <w:tc>
          <w:tcPr>
            <w:tcW w:w="0" w:type="auto"/>
            <w:hideMark/>
          </w:tcPr>
          <w:p w14:paraId="7254DD1F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Étude exhaustive des règles comptables de secteurs spécifiques.</w:t>
            </w:r>
          </w:p>
        </w:tc>
        <w:tc>
          <w:tcPr>
            <w:tcW w:w="0" w:type="auto"/>
            <w:hideMark/>
          </w:tcPr>
          <w:p w14:paraId="3CB3F1B0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 xml:space="preserve">- Introduction de la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fiabilité et de la qualité de la donnée comptable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. -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Lien avec la prise de décision et le reporting</w:t>
            </w:r>
            <w:r w:rsidRPr="004C64F9">
              <w:rPr>
                <w:rFonts w:ascii="Calibri" w:hAnsi="Calibri" w:cs="Calibri"/>
                <w:sz w:val="20"/>
                <w:szCs w:val="20"/>
              </w:rPr>
              <w:t>. - Notions d’analyse comparative et d’outils numériques.</w:t>
            </w:r>
          </w:p>
        </w:tc>
      </w:tr>
      <w:tr w:rsidR="004C64F9" w:rsidRPr="004C64F9" w14:paraId="4041CE52" w14:textId="77777777" w:rsidTr="004C64F9">
        <w:tc>
          <w:tcPr>
            <w:tcW w:w="0" w:type="auto"/>
            <w:hideMark/>
          </w:tcPr>
          <w:p w14:paraId="19CB2C5A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UE11 – Contrôle de gestion</w:t>
            </w:r>
          </w:p>
        </w:tc>
        <w:tc>
          <w:tcPr>
            <w:tcW w:w="0" w:type="auto"/>
            <w:hideMark/>
          </w:tcPr>
          <w:p w14:paraId="2271286D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Objectif : mesurer la performance et piloter les coûts. - Calcul des coûts, budgets, tableaux de bord.</w:t>
            </w:r>
          </w:p>
        </w:tc>
        <w:tc>
          <w:tcPr>
            <w:tcW w:w="0" w:type="auto"/>
            <w:hideMark/>
          </w:tcPr>
          <w:p w14:paraId="6A28AC1F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Vision strictement budgétaire et financière du contrôle.</w:t>
            </w:r>
          </w:p>
        </w:tc>
        <w:tc>
          <w:tcPr>
            <w:tcW w:w="0" w:type="auto"/>
            <w:hideMark/>
          </w:tcPr>
          <w:p w14:paraId="356008E3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Pilotage global de la performance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 (économique, sociale, environnementale). - Utilisation des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indicateurs extra-financiers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 et de la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data visualisation</w:t>
            </w:r>
            <w:r w:rsidRPr="004C64F9">
              <w:rPr>
                <w:rFonts w:ascii="Calibri" w:hAnsi="Calibri" w:cs="Calibri"/>
                <w:sz w:val="20"/>
                <w:szCs w:val="20"/>
              </w:rPr>
              <w:t>. - Notion d’agilité et d’aide à la décision.</w:t>
            </w:r>
          </w:p>
        </w:tc>
      </w:tr>
      <w:tr w:rsidR="004C64F9" w:rsidRPr="004C64F9" w14:paraId="01A3CA5C" w14:textId="77777777" w:rsidTr="004C64F9">
        <w:tc>
          <w:tcPr>
            <w:tcW w:w="0" w:type="auto"/>
            <w:hideMark/>
          </w:tcPr>
          <w:p w14:paraId="3795022C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UE12 – Anglais des affaires</w:t>
            </w:r>
          </w:p>
        </w:tc>
        <w:tc>
          <w:tcPr>
            <w:tcW w:w="0" w:type="auto"/>
            <w:hideMark/>
          </w:tcPr>
          <w:p w14:paraId="6A81186A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Pratique de l’anglais professionnel, vocabulaire économique et financier.</w:t>
            </w:r>
          </w:p>
        </w:tc>
        <w:tc>
          <w:tcPr>
            <w:tcW w:w="0" w:type="auto"/>
            <w:hideMark/>
          </w:tcPr>
          <w:p w14:paraId="759290D1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Traductions et grammaire hors contexte.</w:t>
            </w:r>
          </w:p>
        </w:tc>
        <w:tc>
          <w:tcPr>
            <w:tcW w:w="0" w:type="auto"/>
            <w:hideMark/>
          </w:tcPr>
          <w:p w14:paraId="12CA9ADD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 xml:space="preserve">- Accent sur la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communication en mission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reporting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réunion client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présentation orale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. -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Dimension interculturelle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 et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numérique (visioconférences, e-mails professionnels)</w:t>
            </w:r>
            <w:r w:rsidRPr="004C64F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4C64F9" w:rsidRPr="004C64F9" w14:paraId="32C161EF" w14:textId="77777777" w:rsidTr="004C64F9">
        <w:tc>
          <w:tcPr>
            <w:tcW w:w="0" w:type="auto"/>
            <w:hideMark/>
          </w:tcPr>
          <w:p w14:paraId="0396D623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UE13 – Communication professionnelle / Rapport de stage</w:t>
            </w:r>
          </w:p>
        </w:tc>
        <w:tc>
          <w:tcPr>
            <w:tcW w:w="0" w:type="auto"/>
            <w:hideMark/>
          </w:tcPr>
          <w:p w14:paraId="4CA19E5C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Stage obligatoire et rapport structuré autour d’un processus de gestion.</w:t>
            </w:r>
          </w:p>
        </w:tc>
        <w:tc>
          <w:tcPr>
            <w:tcW w:w="0" w:type="auto"/>
            <w:hideMark/>
          </w:tcPr>
          <w:p w14:paraId="6F4503BF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>- Rapport purement descriptif du stage. - Évaluation essentiellement écrite.</w:t>
            </w:r>
          </w:p>
        </w:tc>
        <w:tc>
          <w:tcPr>
            <w:tcW w:w="0" w:type="auto"/>
            <w:hideMark/>
          </w:tcPr>
          <w:p w14:paraId="45ADAC8C" w14:textId="77777777" w:rsidR="004C64F9" w:rsidRPr="004C64F9" w:rsidRDefault="004C64F9" w:rsidP="004C64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4C64F9">
              <w:rPr>
                <w:rFonts w:ascii="Calibri" w:hAnsi="Calibri" w:cs="Calibri"/>
                <w:sz w:val="20"/>
                <w:szCs w:val="20"/>
              </w:rPr>
              <w:t xml:space="preserve">- L’UE devient une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véritable unité de communication professionnelle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. - Valorisation des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compétences, posture, expression orale et écrite</w:t>
            </w:r>
            <w:r w:rsidRPr="004C64F9">
              <w:rPr>
                <w:rFonts w:ascii="Calibri" w:hAnsi="Calibri" w:cs="Calibri"/>
                <w:sz w:val="20"/>
                <w:szCs w:val="20"/>
              </w:rPr>
              <w:t xml:space="preserve">. - Intégration du </w:t>
            </w:r>
            <w:r w:rsidRPr="004C64F9">
              <w:rPr>
                <w:rFonts w:ascii="Calibri" w:hAnsi="Calibri" w:cs="Calibri"/>
                <w:b/>
                <w:bCs/>
                <w:sz w:val="20"/>
                <w:szCs w:val="20"/>
              </w:rPr>
              <w:t>numérique et de la soutenance interactive</w:t>
            </w:r>
            <w:r w:rsidRPr="004C64F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0D685114" w14:textId="77777777" w:rsidR="00AE0779" w:rsidRDefault="00AE0779" w:rsidP="004C64F9"/>
    <w:p w14:paraId="1E04432C" w14:textId="77777777" w:rsidR="004C64F9" w:rsidRDefault="004C64F9" w:rsidP="004C64F9"/>
    <w:sectPr w:rsidR="004C64F9" w:rsidSect="00AA7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B375F"/>
    <w:multiLevelType w:val="multilevel"/>
    <w:tmpl w:val="0D78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25B54"/>
    <w:multiLevelType w:val="hybridMultilevel"/>
    <w:tmpl w:val="F30E064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8920381">
    <w:abstractNumId w:val="0"/>
  </w:num>
  <w:num w:numId="2" w16cid:durableId="211655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51"/>
    <w:rsid w:val="004A6242"/>
    <w:rsid w:val="004C64F9"/>
    <w:rsid w:val="00577A51"/>
    <w:rsid w:val="00713AC4"/>
    <w:rsid w:val="00951DA2"/>
    <w:rsid w:val="00AA18A7"/>
    <w:rsid w:val="00AA7749"/>
    <w:rsid w:val="00AE0779"/>
    <w:rsid w:val="00CA4633"/>
    <w:rsid w:val="00DE405B"/>
    <w:rsid w:val="00E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A15B"/>
  <w15:chartTrackingRefBased/>
  <w15:docId w15:val="{537319A5-57C8-459B-AF35-D481A64A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7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7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7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7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7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7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7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7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7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7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7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7A5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7A5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7A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7A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7A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7A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7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7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7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7A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7A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7A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7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7A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7A5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A7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2637</Words>
  <Characters>14508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dcterms:created xsi:type="dcterms:W3CDTF">2025-10-10T15:19:00Z</dcterms:created>
  <dcterms:modified xsi:type="dcterms:W3CDTF">2025-10-10T15:38:00Z</dcterms:modified>
</cp:coreProperties>
</file>