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1E2EC" w14:textId="2E5AA07B" w:rsidR="00854175" w:rsidRPr="00854175" w:rsidRDefault="00854175" w:rsidP="005C0E0A">
      <w:pPr>
        <w:pStyle w:val="Titre2"/>
        <w:spacing w:before="0" w:after="0" w:line="240" w:lineRule="auto"/>
      </w:pPr>
      <w:r w:rsidRPr="00854175">
        <w:rPr>
          <w:rFonts w:ascii="Segoe UI Emoji" w:hAnsi="Segoe UI Emoji" w:cs="Segoe UI Emoji"/>
        </w:rPr>
        <w:t>🧭</w:t>
      </w:r>
      <w:r w:rsidRPr="00854175">
        <w:t xml:space="preserve"> Fiche 5.3 – Gouvernance et amélioration de la qualité du système d’information</w:t>
      </w:r>
      <w:r w:rsidR="005C0E0A">
        <w:t> :</w:t>
      </w:r>
      <w:r w:rsidRPr="00854175">
        <w:t xml:space="preserve"> normes, contrôle et résilience</w:t>
      </w:r>
    </w:p>
    <w:p w14:paraId="31121B7D"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Introduction</w:t>
      </w:r>
    </w:p>
    <w:p w14:paraId="1EB54B73" w14:textId="77777777" w:rsidR="00776212" w:rsidRDefault="00854175" w:rsidP="005C0E0A">
      <w:pPr>
        <w:spacing w:line="240" w:lineRule="auto"/>
      </w:pPr>
      <w:r w:rsidRPr="00854175">
        <w:t xml:space="preserve">La </w:t>
      </w:r>
      <w:r w:rsidRPr="00854175">
        <w:rPr>
          <w:b/>
          <w:bCs/>
        </w:rPr>
        <w:t>qualité du système d’information (SI)</w:t>
      </w:r>
      <w:r w:rsidRPr="00854175">
        <w:t xml:space="preserve"> ne dépend pas seulement de ses qualités techniques (CID, performance, fiabilité…).</w:t>
      </w:r>
    </w:p>
    <w:p w14:paraId="2C1C47BB" w14:textId="77777777" w:rsidR="00854175" w:rsidRPr="00854175" w:rsidRDefault="00854175" w:rsidP="005C0E0A">
      <w:pPr>
        <w:spacing w:line="240" w:lineRule="auto"/>
      </w:pPr>
      <w:r w:rsidRPr="00854175">
        <w:t xml:space="preserve">Elle repose aussi sur une </w:t>
      </w:r>
      <w:r w:rsidRPr="00854175">
        <w:rPr>
          <w:b/>
          <w:bCs/>
        </w:rPr>
        <w:t>gouvernance structurée</w:t>
      </w:r>
      <w:r w:rsidRPr="00854175">
        <w:t xml:space="preserve">, des </w:t>
      </w:r>
      <w:r w:rsidRPr="00854175">
        <w:rPr>
          <w:b/>
          <w:bCs/>
        </w:rPr>
        <w:t>normes de management reconnues</w:t>
      </w:r>
      <w:r w:rsidRPr="00854175">
        <w:t xml:space="preserve"> et une </w:t>
      </w:r>
      <w:r w:rsidRPr="00854175">
        <w:rPr>
          <w:b/>
          <w:bCs/>
        </w:rPr>
        <w:t>amélioration continue</w:t>
      </w:r>
      <w:r w:rsidRPr="00854175">
        <w:t xml:space="preserve"> garantissant la conformité, la sécurité et la résilience face aux risques numériques.</w:t>
      </w:r>
    </w:p>
    <w:p w14:paraId="53F89950" w14:textId="43599DAF" w:rsidR="00854175" w:rsidRPr="00854175" w:rsidRDefault="00854175" w:rsidP="005C0E0A">
      <w:pPr>
        <w:spacing w:line="240" w:lineRule="auto"/>
      </w:pPr>
      <w:r w:rsidRPr="00854175">
        <w:t xml:space="preserve">La qualité du SI </w:t>
      </w:r>
      <w:proofErr w:type="spellStart"/>
      <w:r w:rsidRPr="00854175">
        <w:t>se</w:t>
      </w:r>
      <w:proofErr w:type="spellEnd"/>
      <w:r w:rsidRPr="00854175">
        <w:t xml:space="preserve"> pilote dans une démarche de gouvernance et de management. Les cadres cités n’ont pas le même statut</w:t>
      </w:r>
      <w:r w:rsidR="005C0E0A">
        <w:t> :</w:t>
      </w:r>
      <w:r w:rsidRPr="00854175">
        <w:t xml:space="preserve"> ISO 9001:2026 et ISO/IEC 27001:2022 définissent des exigences pour des systèmes de management distincts</w:t>
      </w:r>
      <w:r w:rsidR="005C0E0A">
        <w:t> ;</w:t>
      </w:r>
      <w:r w:rsidRPr="00854175">
        <w:t xml:space="preserve"> ITIL (version 5 lancée en 2026) et COBIT 2019 sont des cadres de pratiques et de gouvernance.</w:t>
      </w:r>
    </w:p>
    <w:p w14:paraId="031E7DBD" w14:textId="74264C01" w:rsidR="00854175" w:rsidRPr="00854175" w:rsidRDefault="00854175" w:rsidP="005C0E0A">
      <w:pPr>
        <w:spacing w:line="240" w:lineRule="auto"/>
      </w:pPr>
      <w:r w:rsidRPr="00854175">
        <w:rPr>
          <w:rFonts w:ascii="Segoe UI Emoji" w:hAnsi="Segoe UI Emoji" w:cs="Segoe UI Emoji"/>
        </w:rPr>
        <w:t>🎯</w:t>
      </w:r>
      <w:r w:rsidRPr="00854175">
        <w:t xml:space="preserve"> </w:t>
      </w:r>
      <w:r w:rsidRPr="00854175">
        <w:rPr>
          <w:b/>
          <w:bCs/>
        </w:rPr>
        <w:t>Objectif</w:t>
      </w:r>
      <w:r w:rsidR="005C0E0A">
        <w:rPr>
          <w:b/>
          <w:bCs/>
        </w:rPr>
        <w:t> :</w:t>
      </w:r>
      <w:r w:rsidRPr="00854175">
        <w:t xml:space="preserve"> comprendre comment la qualité du SI </w:t>
      </w:r>
      <w:proofErr w:type="spellStart"/>
      <w:r w:rsidRPr="00854175">
        <w:t>se</w:t>
      </w:r>
      <w:proofErr w:type="spellEnd"/>
      <w:r w:rsidRPr="00854175">
        <w:t xml:space="preserve"> pilote, s’évalue et s’améliore dans le temps, à travers les démarches de gouvernance, les contrôles et la résilience organisationnelle.</w:t>
      </w:r>
    </w:p>
    <w:p w14:paraId="4830423A" w14:textId="0A4E7961"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1. La gouvernance du SI</w:t>
      </w:r>
      <w:r w:rsidR="005C0E0A">
        <w:rPr>
          <w:b/>
          <w:bCs/>
        </w:rPr>
        <w:t> :</w:t>
      </w:r>
      <w:r w:rsidRPr="00854175">
        <w:rPr>
          <w:b/>
          <w:bCs/>
        </w:rPr>
        <w:t xml:space="preserve"> définition et principes</w:t>
      </w:r>
    </w:p>
    <w:p w14:paraId="7E69765F" w14:textId="4FC12A4E" w:rsidR="00854175" w:rsidRPr="00854175" w:rsidRDefault="00854175" w:rsidP="005C0E0A">
      <w:pPr>
        <w:spacing w:line="240" w:lineRule="auto"/>
      </w:pPr>
      <w:r w:rsidRPr="00854175">
        <w:rPr>
          <w:rFonts w:ascii="Segoe UI Emoji" w:hAnsi="Segoe UI Emoji" w:cs="Segoe UI Emoji"/>
        </w:rPr>
        <w:t>Définition de la gouvernance du SI</w:t>
      </w:r>
      <w:r w:rsidR="005C0E0A">
        <w:rPr>
          <w:rFonts w:ascii="Segoe UI Emoji" w:hAnsi="Segoe UI Emoji" w:cs="Segoe UI Emoji"/>
        </w:rPr>
        <w:t> :</w:t>
      </w:r>
    </w:p>
    <w:p w14:paraId="2EEF0968" w14:textId="77777777" w:rsidR="00854175" w:rsidRPr="00854175" w:rsidRDefault="00854175" w:rsidP="005C0E0A">
      <w:pPr>
        <w:spacing w:line="240" w:lineRule="auto"/>
      </w:pPr>
      <w:r w:rsidRPr="00854175">
        <w:t>La gouvernance du SI organise les décisions, les responsabilités, les orientations et les contrôles pour créer de la valeur, maîtriser les risques et aligner le SI sur les objectifs de l’organisation.</w:t>
      </w:r>
    </w:p>
    <w:p w14:paraId="2348AE07"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Principes clés de gouvernance</w:t>
      </w:r>
    </w:p>
    <w:tbl>
      <w:tblPr>
        <w:tblStyle w:val="Grilledutableau"/>
        <w:tblW w:w="0" w:type="auto"/>
        <w:tblLook w:val="04A0" w:firstRow="1" w:lastRow="0" w:firstColumn="1" w:lastColumn="0" w:noHBand="0" w:noVBand="1"/>
      </w:tblPr>
      <w:tblGrid>
        <w:gridCol w:w="2451"/>
        <w:gridCol w:w="4294"/>
        <w:gridCol w:w="3461"/>
      </w:tblGrid>
      <w:tr w:rsidR="00854175" w:rsidRPr="005C0E0A" w14:paraId="3371B509" w14:textId="77777777" w:rsidTr="005C0E0A">
        <w:trPr>
          <w:tblHeader/>
        </w:trPr>
        <w:tc>
          <w:tcPr>
            <w:tcW w:w="0" w:type="auto"/>
            <w:hideMark/>
          </w:tcPr>
          <w:p w14:paraId="364914D1" w14:textId="77777777" w:rsidR="00854175" w:rsidRPr="005C0E0A" w:rsidRDefault="00854175" w:rsidP="005C0E0A">
            <w:pPr>
              <w:jc w:val="left"/>
              <w:rPr>
                <w:rFonts w:ascii="Calibri" w:hAnsi="Calibri"/>
                <w:b/>
                <w:bCs/>
                <w:sz w:val="20"/>
              </w:rPr>
            </w:pPr>
            <w:r w:rsidRPr="005C0E0A">
              <w:rPr>
                <w:rFonts w:ascii="Calibri" w:hAnsi="Calibri"/>
                <w:b/>
                <w:bCs/>
                <w:sz w:val="20"/>
              </w:rPr>
              <w:t>Principe</w:t>
            </w:r>
          </w:p>
        </w:tc>
        <w:tc>
          <w:tcPr>
            <w:tcW w:w="0" w:type="auto"/>
            <w:hideMark/>
          </w:tcPr>
          <w:p w14:paraId="2CB05A56" w14:textId="77777777" w:rsidR="00854175" w:rsidRPr="005C0E0A" w:rsidRDefault="00854175" w:rsidP="005C0E0A">
            <w:pPr>
              <w:jc w:val="left"/>
              <w:rPr>
                <w:rFonts w:ascii="Calibri" w:hAnsi="Calibri"/>
                <w:b/>
                <w:bCs/>
                <w:sz w:val="20"/>
              </w:rPr>
            </w:pPr>
            <w:r w:rsidRPr="005C0E0A">
              <w:rPr>
                <w:rFonts w:ascii="Calibri" w:hAnsi="Calibri"/>
                <w:b/>
                <w:bCs/>
                <w:sz w:val="20"/>
              </w:rPr>
              <w:t>Description</w:t>
            </w:r>
          </w:p>
        </w:tc>
        <w:tc>
          <w:tcPr>
            <w:tcW w:w="0" w:type="auto"/>
            <w:hideMark/>
          </w:tcPr>
          <w:p w14:paraId="048668DE" w14:textId="77777777" w:rsidR="00854175" w:rsidRPr="005C0E0A" w:rsidRDefault="00854175" w:rsidP="005C0E0A">
            <w:pPr>
              <w:jc w:val="left"/>
              <w:rPr>
                <w:rFonts w:ascii="Calibri" w:hAnsi="Calibri"/>
                <w:b/>
                <w:bCs/>
                <w:sz w:val="20"/>
              </w:rPr>
            </w:pPr>
            <w:r w:rsidRPr="005C0E0A">
              <w:rPr>
                <w:rFonts w:ascii="Calibri" w:hAnsi="Calibri"/>
                <w:b/>
                <w:bCs/>
                <w:sz w:val="20"/>
              </w:rPr>
              <w:t>Objectif</w:t>
            </w:r>
          </w:p>
        </w:tc>
      </w:tr>
      <w:tr w:rsidR="00854175" w:rsidRPr="005C0E0A" w14:paraId="23828637" w14:textId="77777777" w:rsidTr="005C0E0A">
        <w:tc>
          <w:tcPr>
            <w:tcW w:w="0" w:type="auto"/>
            <w:hideMark/>
          </w:tcPr>
          <w:p w14:paraId="2C3AF070" w14:textId="77777777" w:rsidR="00854175" w:rsidRPr="005C0E0A" w:rsidRDefault="00854175" w:rsidP="005C0E0A">
            <w:pPr>
              <w:jc w:val="left"/>
              <w:rPr>
                <w:rFonts w:ascii="Calibri" w:hAnsi="Calibri"/>
                <w:sz w:val="20"/>
              </w:rPr>
            </w:pPr>
            <w:r w:rsidRPr="005C0E0A">
              <w:rPr>
                <w:rFonts w:ascii="Calibri" w:hAnsi="Calibri"/>
                <w:b/>
                <w:bCs/>
                <w:sz w:val="20"/>
              </w:rPr>
              <w:t>Alignement stratégique</w:t>
            </w:r>
          </w:p>
        </w:tc>
        <w:tc>
          <w:tcPr>
            <w:tcW w:w="0" w:type="auto"/>
            <w:hideMark/>
          </w:tcPr>
          <w:p w14:paraId="6C26CE2E" w14:textId="77777777" w:rsidR="00854175" w:rsidRPr="005C0E0A" w:rsidRDefault="00854175" w:rsidP="005C0E0A">
            <w:pPr>
              <w:jc w:val="left"/>
              <w:rPr>
                <w:rFonts w:ascii="Calibri" w:hAnsi="Calibri"/>
                <w:sz w:val="20"/>
              </w:rPr>
            </w:pPr>
            <w:r w:rsidRPr="005C0E0A">
              <w:rPr>
                <w:rFonts w:ascii="Calibri" w:hAnsi="Calibri"/>
                <w:sz w:val="20"/>
              </w:rPr>
              <w:t>Le SI doit servir la stratégie globale de l’entreprise.</w:t>
            </w:r>
          </w:p>
        </w:tc>
        <w:tc>
          <w:tcPr>
            <w:tcW w:w="0" w:type="auto"/>
            <w:hideMark/>
          </w:tcPr>
          <w:p w14:paraId="27C09E38" w14:textId="77777777" w:rsidR="00854175" w:rsidRPr="005C0E0A" w:rsidRDefault="00854175" w:rsidP="005C0E0A">
            <w:pPr>
              <w:jc w:val="left"/>
              <w:rPr>
                <w:rFonts w:ascii="Calibri" w:hAnsi="Calibri"/>
                <w:sz w:val="20"/>
              </w:rPr>
            </w:pPr>
            <w:r w:rsidRPr="005C0E0A">
              <w:rPr>
                <w:rFonts w:ascii="Calibri" w:hAnsi="Calibri"/>
                <w:sz w:val="20"/>
              </w:rPr>
              <w:t>Créer de la valeur.</w:t>
            </w:r>
          </w:p>
        </w:tc>
      </w:tr>
      <w:tr w:rsidR="00854175" w:rsidRPr="005C0E0A" w14:paraId="581ABE78" w14:textId="77777777" w:rsidTr="005C0E0A">
        <w:tc>
          <w:tcPr>
            <w:tcW w:w="0" w:type="auto"/>
            <w:hideMark/>
          </w:tcPr>
          <w:p w14:paraId="6163A47A" w14:textId="77777777" w:rsidR="00854175" w:rsidRPr="005C0E0A" w:rsidRDefault="00854175" w:rsidP="005C0E0A">
            <w:pPr>
              <w:jc w:val="left"/>
              <w:rPr>
                <w:rFonts w:ascii="Calibri" w:hAnsi="Calibri"/>
                <w:sz w:val="20"/>
              </w:rPr>
            </w:pPr>
            <w:r w:rsidRPr="005C0E0A">
              <w:rPr>
                <w:rFonts w:ascii="Calibri" w:hAnsi="Calibri"/>
                <w:b/>
                <w:bCs/>
                <w:sz w:val="20"/>
              </w:rPr>
              <w:t>Pilotage de la performance</w:t>
            </w:r>
          </w:p>
        </w:tc>
        <w:tc>
          <w:tcPr>
            <w:tcW w:w="0" w:type="auto"/>
            <w:hideMark/>
          </w:tcPr>
          <w:p w14:paraId="46A9B483" w14:textId="77777777" w:rsidR="00854175" w:rsidRPr="005C0E0A" w:rsidRDefault="00854175" w:rsidP="005C0E0A">
            <w:pPr>
              <w:jc w:val="left"/>
              <w:rPr>
                <w:rFonts w:ascii="Calibri" w:hAnsi="Calibri"/>
                <w:sz w:val="20"/>
              </w:rPr>
            </w:pPr>
            <w:r w:rsidRPr="005C0E0A">
              <w:rPr>
                <w:rFonts w:ascii="Calibri" w:hAnsi="Calibri"/>
                <w:sz w:val="20"/>
              </w:rPr>
              <w:t>Suivre les indicateurs de qualité et de service.</w:t>
            </w:r>
          </w:p>
        </w:tc>
        <w:tc>
          <w:tcPr>
            <w:tcW w:w="0" w:type="auto"/>
            <w:hideMark/>
          </w:tcPr>
          <w:p w14:paraId="777ED769" w14:textId="77777777" w:rsidR="00854175" w:rsidRPr="005C0E0A" w:rsidRDefault="00854175" w:rsidP="005C0E0A">
            <w:pPr>
              <w:jc w:val="left"/>
              <w:rPr>
                <w:rFonts w:ascii="Calibri" w:hAnsi="Calibri"/>
                <w:sz w:val="20"/>
              </w:rPr>
            </w:pPr>
            <w:r w:rsidRPr="005C0E0A">
              <w:rPr>
                <w:rFonts w:ascii="Calibri" w:hAnsi="Calibri"/>
                <w:sz w:val="20"/>
              </w:rPr>
              <w:t>Mesurer l’efficacité du SI.</w:t>
            </w:r>
          </w:p>
        </w:tc>
      </w:tr>
      <w:tr w:rsidR="00854175" w:rsidRPr="005C0E0A" w14:paraId="3537EF0E" w14:textId="77777777" w:rsidTr="005C0E0A">
        <w:tc>
          <w:tcPr>
            <w:tcW w:w="0" w:type="auto"/>
            <w:hideMark/>
          </w:tcPr>
          <w:p w14:paraId="1509EE05" w14:textId="77777777" w:rsidR="00854175" w:rsidRPr="005C0E0A" w:rsidRDefault="00854175" w:rsidP="005C0E0A">
            <w:pPr>
              <w:jc w:val="left"/>
              <w:rPr>
                <w:rFonts w:ascii="Calibri" w:hAnsi="Calibri"/>
                <w:sz w:val="20"/>
              </w:rPr>
            </w:pPr>
            <w:r w:rsidRPr="005C0E0A">
              <w:rPr>
                <w:rFonts w:ascii="Calibri" w:hAnsi="Calibri"/>
                <w:b/>
                <w:bCs/>
                <w:sz w:val="20"/>
              </w:rPr>
              <w:t>Gestion des risques</w:t>
            </w:r>
          </w:p>
        </w:tc>
        <w:tc>
          <w:tcPr>
            <w:tcW w:w="0" w:type="auto"/>
            <w:hideMark/>
          </w:tcPr>
          <w:p w14:paraId="38FCE2ED" w14:textId="77777777" w:rsidR="00854175" w:rsidRPr="005C0E0A" w:rsidRDefault="00854175" w:rsidP="005C0E0A">
            <w:pPr>
              <w:jc w:val="left"/>
              <w:rPr>
                <w:rFonts w:ascii="Calibri" w:hAnsi="Calibri"/>
                <w:sz w:val="20"/>
              </w:rPr>
            </w:pPr>
            <w:r w:rsidRPr="005C0E0A">
              <w:rPr>
                <w:rFonts w:ascii="Calibri" w:hAnsi="Calibri"/>
                <w:sz w:val="20"/>
              </w:rPr>
              <w:t>Identifier et atténuer les menaces pesant sur le SI.</w:t>
            </w:r>
          </w:p>
        </w:tc>
        <w:tc>
          <w:tcPr>
            <w:tcW w:w="0" w:type="auto"/>
            <w:hideMark/>
          </w:tcPr>
          <w:p w14:paraId="589A5EE9" w14:textId="77777777" w:rsidR="00854175" w:rsidRPr="005C0E0A" w:rsidRDefault="00854175" w:rsidP="005C0E0A">
            <w:pPr>
              <w:jc w:val="left"/>
              <w:rPr>
                <w:rFonts w:ascii="Calibri" w:hAnsi="Calibri"/>
                <w:sz w:val="20"/>
              </w:rPr>
            </w:pPr>
            <w:r w:rsidRPr="005C0E0A">
              <w:rPr>
                <w:rFonts w:ascii="Calibri" w:hAnsi="Calibri"/>
                <w:sz w:val="20"/>
              </w:rPr>
              <w:t>Réduire les incidents et pertes.</w:t>
            </w:r>
          </w:p>
        </w:tc>
      </w:tr>
      <w:tr w:rsidR="00854175" w:rsidRPr="005C0E0A" w14:paraId="5425F371" w14:textId="77777777" w:rsidTr="005C0E0A">
        <w:tc>
          <w:tcPr>
            <w:tcW w:w="0" w:type="auto"/>
            <w:hideMark/>
          </w:tcPr>
          <w:p w14:paraId="3DDAC0D5" w14:textId="77777777" w:rsidR="00854175" w:rsidRPr="005C0E0A" w:rsidRDefault="00854175" w:rsidP="005C0E0A">
            <w:pPr>
              <w:jc w:val="left"/>
              <w:rPr>
                <w:rFonts w:ascii="Calibri" w:hAnsi="Calibri"/>
                <w:sz w:val="20"/>
              </w:rPr>
            </w:pPr>
            <w:r w:rsidRPr="005C0E0A">
              <w:rPr>
                <w:rFonts w:ascii="Calibri" w:hAnsi="Calibri"/>
                <w:b/>
                <w:bCs/>
                <w:sz w:val="20"/>
              </w:rPr>
              <w:t>Conformité</w:t>
            </w:r>
          </w:p>
        </w:tc>
        <w:tc>
          <w:tcPr>
            <w:tcW w:w="0" w:type="auto"/>
            <w:hideMark/>
          </w:tcPr>
          <w:p w14:paraId="0C246F91" w14:textId="77777777" w:rsidR="00854175" w:rsidRPr="005C0E0A" w:rsidRDefault="00854175" w:rsidP="005C0E0A">
            <w:pPr>
              <w:jc w:val="left"/>
              <w:rPr>
                <w:rFonts w:ascii="Calibri" w:hAnsi="Calibri"/>
                <w:sz w:val="20"/>
              </w:rPr>
            </w:pPr>
            <w:r w:rsidRPr="005C0E0A">
              <w:rPr>
                <w:rFonts w:ascii="Calibri" w:hAnsi="Calibri"/>
                <w:sz w:val="20"/>
              </w:rPr>
              <w:t>Respecter les normes et obligations légales.</w:t>
            </w:r>
          </w:p>
        </w:tc>
        <w:tc>
          <w:tcPr>
            <w:tcW w:w="0" w:type="auto"/>
            <w:hideMark/>
          </w:tcPr>
          <w:p w14:paraId="6CD8CC63" w14:textId="77777777" w:rsidR="00854175" w:rsidRPr="005C0E0A" w:rsidRDefault="00854175" w:rsidP="005C0E0A">
            <w:pPr>
              <w:jc w:val="left"/>
              <w:rPr>
                <w:rFonts w:ascii="Calibri" w:hAnsi="Calibri"/>
                <w:sz w:val="20"/>
              </w:rPr>
            </w:pPr>
            <w:r w:rsidRPr="005C0E0A">
              <w:rPr>
                <w:rFonts w:ascii="Calibri" w:hAnsi="Calibri"/>
                <w:sz w:val="20"/>
              </w:rPr>
              <w:t>Garantir la transparence et la confiance.</w:t>
            </w:r>
          </w:p>
        </w:tc>
      </w:tr>
      <w:tr w:rsidR="00854175" w:rsidRPr="005C0E0A" w14:paraId="6B4C9E13" w14:textId="77777777" w:rsidTr="005C0E0A">
        <w:tc>
          <w:tcPr>
            <w:tcW w:w="0" w:type="auto"/>
            <w:hideMark/>
          </w:tcPr>
          <w:p w14:paraId="4EF90B18" w14:textId="77777777" w:rsidR="00854175" w:rsidRPr="005C0E0A" w:rsidRDefault="00854175" w:rsidP="005C0E0A">
            <w:pPr>
              <w:jc w:val="left"/>
              <w:rPr>
                <w:rFonts w:ascii="Calibri" w:hAnsi="Calibri"/>
                <w:sz w:val="20"/>
              </w:rPr>
            </w:pPr>
            <w:r w:rsidRPr="005C0E0A">
              <w:rPr>
                <w:rFonts w:ascii="Calibri" w:hAnsi="Calibri"/>
                <w:b/>
                <w:bCs/>
                <w:sz w:val="20"/>
              </w:rPr>
              <w:t>Amélioration continue</w:t>
            </w:r>
          </w:p>
        </w:tc>
        <w:tc>
          <w:tcPr>
            <w:tcW w:w="0" w:type="auto"/>
            <w:hideMark/>
          </w:tcPr>
          <w:p w14:paraId="432B77C7" w14:textId="77777777" w:rsidR="00854175" w:rsidRPr="005C0E0A" w:rsidRDefault="00854175" w:rsidP="005C0E0A">
            <w:pPr>
              <w:jc w:val="left"/>
              <w:rPr>
                <w:rFonts w:ascii="Calibri" w:hAnsi="Calibri"/>
                <w:sz w:val="20"/>
              </w:rPr>
            </w:pPr>
            <w:r w:rsidRPr="005C0E0A">
              <w:rPr>
                <w:rFonts w:ascii="Calibri" w:hAnsi="Calibri"/>
                <w:sz w:val="20"/>
              </w:rPr>
              <w:t>Optimiser en permanence les processus SI.</w:t>
            </w:r>
          </w:p>
        </w:tc>
        <w:tc>
          <w:tcPr>
            <w:tcW w:w="0" w:type="auto"/>
            <w:hideMark/>
          </w:tcPr>
          <w:p w14:paraId="759EE1E2" w14:textId="77777777" w:rsidR="00854175" w:rsidRPr="005C0E0A" w:rsidRDefault="00854175" w:rsidP="005C0E0A">
            <w:pPr>
              <w:jc w:val="left"/>
              <w:rPr>
                <w:rFonts w:ascii="Calibri" w:hAnsi="Calibri"/>
                <w:sz w:val="20"/>
              </w:rPr>
            </w:pPr>
            <w:r w:rsidRPr="005C0E0A">
              <w:rPr>
                <w:rFonts w:ascii="Calibri" w:hAnsi="Calibri"/>
                <w:sz w:val="20"/>
              </w:rPr>
              <w:t>Assurer la durabilité et la résilience.</w:t>
            </w:r>
          </w:p>
        </w:tc>
      </w:tr>
    </w:tbl>
    <w:p w14:paraId="75592C38" w14:textId="77777777" w:rsidR="00854175" w:rsidRPr="00854175" w:rsidRDefault="00854175" w:rsidP="005C0E0A">
      <w:pPr>
        <w:spacing w:line="240" w:lineRule="auto"/>
      </w:pPr>
      <w:r w:rsidRPr="00854175">
        <w:rPr>
          <w:rFonts w:ascii="Segoe UI Emoji" w:hAnsi="Segoe UI Emoji" w:cs="Segoe UI Emoji"/>
        </w:rPr>
        <w:t>💬</w:t>
      </w:r>
      <w:r w:rsidRPr="00854175">
        <w:t xml:space="preserve"> Une bonne gouvernance du SI combine </w:t>
      </w:r>
      <w:r w:rsidRPr="00854175">
        <w:rPr>
          <w:b/>
          <w:bCs/>
        </w:rPr>
        <w:t>maîtrise, transparence et amélioration continue</w:t>
      </w:r>
      <w:r w:rsidRPr="00854175">
        <w:t>.</w:t>
      </w:r>
    </w:p>
    <w:p w14:paraId="6B55AB92"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2. Les référentiels et normes de management du SI</w:t>
      </w:r>
    </w:p>
    <w:p w14:paraId="50A3E5DE" w14:textId="77777777" w:rsidR="00854175" w:rsidRPr="00854175" w:rsidRDefault="00854175" w:rsidP="005C0E0A">
      <w:pPr>
        <w:spacing w:line="240" w:lineRule="auto"/>
      </w:pPr>
      <w:r w:rsidRPr="00854175">
        <w:t>Les démarches de qualité, de sécurité, de continuité et de pilotage des services s’appuient sur des cadres différents et complémentaires. La conformité à un référentiel volontaire ne remplace pas le respect d’une réglementation applicable.</w:t>
      </w:r>
    </w:p>
    <w:tbl>
      <w:tblPr>
        <w:tblStyle w:val="Grilledutableau"/>
        <w:tblW w:w="0" w:type="auto"/>
        <w:tblLook w:val="04A0" w:firstRow="1" w:lastRow="0" w:firstColumn="1" w:lastColumn="0" w:noHBand="0" w:noVBand="1"/>
      </w:tblPr>
      <w:tblGrid>
        <w:gridCol w:w="1836"/>
        <w:gridCol w:w="3000"/>
        <w:gridCol w:w="5620"/>
      </w:tblGrid>
      <w:tr w:rsidR="00854175" w:rsidRPr="005C0E0A" w14:paraId="4F35A1B5" w14:textId="77777777" w:rsidTr="005C0E0A">
        <w:trPr>
          <w:tblHeader/>
        </w:trPr>
        <w:tc>
          <w:tcPr>
            <w:tcW w:w="0" w:type="auto"/>
            <w:hideMark/>
          </w:tcPr>
          <w:p w14:paraId="3AB649CB" w14:textId="77777777" w:rsidR="00854175" w:rsidRPr="005C0E0A" w:rsidRDefault="00854175" w:rsidP="005C0E0A">
            <w:pPr>
              <w:jc w:val="left"/>
              <w:rPr>
                <w:rFonts w:ascii="Calibri" w:hAnsi="Calibri" w:cs="Calibri"/>
                <w:b/>
                <w:bCs/>
                <w:sz w:val="20"/>
              </w:rPr>
            </w:pPr>
            <w:r w:rsidRPr="005C0E0A">
              <w:rPr>
                <w:rFonts w:ascii="Calibri" w:hAnsi="Calibri" w:cs="Calibri"/>
                <w:b/>
                <w:bCs/>
                <w:sz w:val="20"/>
              </w:rPr>
              <w:t>Référentiel</w:t>
            </w:r>
          </w:p>
        </w:tc>
        <w:tc>
          <w:tcPr>
            <w:tcW w:w="0" w:type="auto"/>
            <w:hideMark/>
          </w:tcPr>
          <w:p w14:paraId="7E39C9E8" w14:textId="77777777" w:rsidR="00854175" w:rsidRPr="005C0E0A" w:rsidRDefault="00854175" w:rsidP="005C0E0A">
            <w:pPr>
              <w:jc w:val="left"/>
              <w:rPr>
                <w:rFonts w:ascii="Calibri" w:hAnsi="Calibri" w:cs="Calibri"/>
                <w:b/>
                <w:bCs/>
                <w:sz w:val="20"/>
              </w:rPr>
            </w:pPr>
            <w:r w:rsidRPr="005C0E0A">
              <w:rPr>
                <w:rFonts w:ascii="Calibri" w:hAnsi="Calibri" w:cs="Calibri"/>
                <w:b/>
                <w:bCs/>
                <w:sz w:val="20"/>
              </w:rPr>
              <w:t>Domaine d’application</w:t>
            </w:r>
          </w:p>
        </w:tc>
        <w:tc>
          <w:tcPr>
            <w:tcW w:w="0" w:type="auto"/>
            <w:hideMark/>
          </w:tcPr>
          <w:p w14:paraId="0A03CF55" w14:textId="77777777" w:rsidR="00854175" w:rsidRPr="005C0E0A" w:rsidRDefault="00854175" w:rsidP="005C0E0A">
            <w:pPr>
              <w:jc w:val="left"/>
              <w:rPr>
                <w:rFonts w:ascii="Calibri" w:hAnsi="Calibri" w:cs="Calibri"/>
                <w:b/>
                <w:bCs/>
                <w:sz w:val="20"/>
              </w:rPr>
            </w:pPr>
            <w:r w:rsidRPr="005C0E0A">
              <w:rPr>
                <w:rFonts w:ascii="Calibri" w:hAnsi="Calibri" w:cs="Calibri"/>
                <w:b/>
                <w:bCs/>
                <w:sz w:val="20"/>
              </w:rPr>
              <w:t>Objectif principal</w:t>
            </w:r>
          </w:p>
        </w:tc>
      </w:tr>
      <w:tr w:rsidR="00854175" w:rsidRPr="005C0E0A" w14:paraId="6EE5C6DF" w14:textId="77777777" w:rsidTr="005C0E0A">
        <w:tc>
          <w:tcPr>
            <w:tcW w:w="0" w:type="auto"/>
            <w:hideMark/>
          </w:tcPr>
          <w:p w14:paraId="57896E93" w14:textId="77777777" w:rsidR="00854175" w:rsidRPr="005C0E0A" w:rsidRDefault="00854175" w:rsidP="005C0E0A">
            <w:pPr>
              <w:jc w:val="left"/>
              <w:rPr>
                <w:rFonts w:ascii="Calibri" w:hAnsi="Calibri" w:cs="Calibri"/>
                <w:sz w:val="20"/>
              </w:rPr>
            </w:pPr>
            <w:r w:rsidRPr="005C0E0A">
              <w:rPr>
                <w:rFonts w:ascii="Calibri" w:hAnsi="Calibri" w:cs="Calibri"/>
                <w:b/>
                <w:bCs/>
                <w:sz w:val="20"/>
              </w:rPr>
              <w:t>ISO 9001:2026</w:t>
            </w:r>
          </w:p>
        </w:tc>
        <w:tc>
          <w:tcPr>
            <w:tcW w:w="0" w:type="auto"/>
            <w:hideMark/>
          </w:tcPr>
          <w:p w14:paraId="4E63E4BA" w14:textId="77777777" w:rsidR="00854175" w:rsidRPr="005C0E0A" w:rsidRDefault="00854175" w:rsidP="005C0E0A">
            <w:pPr>
              <w:jc w:val="left"/>
              <w:rPr>
                <w:rFonts w:ascii="Calibri" w:hAnsi="Calibri" w:cs="Calibri"/>
                <w:sz w:val="20"/>
              </w:rPr>
            </w:pPr>
            <w:r w:rsidRPr="005C0E0A">
              <w:rPr>
                <w:rFonts w:ascii="Calibri" w:hAnsi="Calibri" w:cs="Calibri"/>
                <w:sz w:val="20"/>
              </w:rPr>
              <w:t>Management de la qualité</w:t>
            </w:r>
          </w:p>
        </w:tc>
        <w:tc>
          <w:tcPr>
            <w:tcW w:w="0" w:type="auto"/>
            <w:hideMark/>
          </w:tcPr>
          <w:p w14:paraId="694A9FEA" w14:textId="77777777" w:rsidR="00854175" w:rsidRPr="005C0E0A" w:rsidRDefault="00854175" w:rsidP="005C0E0A">
            <w:pPr>
              <w:jc w:val="left"/>
              <w:rPr>
                <w:rFonts w:ascii="Calibri" w:hAnsi="Calibri" w:cs="Calibri"/>
                <w:sz w:val="20"/>
              </w:rPr>
            </w:pPr>
            <w:r w:rsidRPr="005C0E0A">
              <w:rPr>
                <w:rFonts w:ascii="Calibri" w:hAnsi="Calibri" w:cs="Calibri"/>
                <w:sz w:val="20"/>
              </w:rPr>
              <w:t>Amélioration continue et satisfaction client.</w:t>
            </w:r>
          </w:p>
        </w:tc>
      </w:tr>
      <w:tr w:rsidR="00854175" w:rsidRPr="005C0E0A" w14:paraId="384296BE" w14:textId="77777777" w:rsidTr="005C0E0A">
        <w:tc>
          <w:tcPr>
            <w:tcW w:w="0" w:type="auto"/>
            <w:hideMark/>
          </w:tcPr>
          <w:p w14:paraId="000B4450" w14:textId="77777777" w:rsidR="00854175" w:rsidRPr="005C0E0A" w:rsidRDefault="00854175" w:rsidP="005C0E0A">
            <w:pPr>
              <w:jc w:val="left"/>
              <w:rPr>
                <w:rFonts w:ascii="Calibri" w:hAnsi="Calibri" w:cs="Calibri"/>
                <w:sz w:val="20"/>
              </w:rPr>
            </w:pPr>
            <w:r w:rsidRPr="005C0E0A">
              <w:rPr>
                <w:rFonts w:ascii="Calibri" w:hAnsi="Calibri" w:cs="Calibri"/>
                <w:b/>
                <w:bCs/>
                <w:sz w:val="20"/>
              </w:rPr>
              <w:t>ISO/IEC 27001:2022</w:t>
            </w:r>
          </w:p>
        </w:tc>
        <w:tc>
          <w:tcPr>
            <w:tcW w:w="0" w:type="auto"/>
            <w:hideMark/>
          </w:tcPr>
          <w:p w14:paraId="4B4868BC" w14:textId="77777777" w:rsidR="00854175" w:rsidRPr="005C0E0A" w:rsidRDefault="00854175" w:rsidP="005C0E0A">
            <w:pPr>
              <w:jc w:val="left"/>
              <w:rPr>
                <w:rFonts w:ascii="Calibri" w:hAnsi="Calibri" w:cs="Calibri"/>
                <w:sz w:val="20"/>
              </w:rPr>
            </w:pPr>
            <w:r w:rsidRPr="005C0E0A">
              <w:rPr>
                <w:rFonts w:ascii="Calibri" w:hAnsi="Calibri" w:cs="Calibri"/>
                <w:sz w:val="20"/>
              </w:rPr>
              <w:t>Sécurité de l’information</w:t>
            </w:r>
          </w:p>
        </w:tc>
        <w:tc>
          <w:tcPr>
            <w:tcW w:w="0" w:type="auto"/>
            <w:hideMark/>
          </w:tcPr>
          <w:p w14:paraId="33E6CC91" w14:textId="77777777" w:rsidR="00854175" w:rsidRPr="005C0E0A" w:rsidRDefault="00854175" w:rsidP="005C0E0A">
            <w:pPr>
              <w:jc w:val="left"/>
              <w:rPr>
                <w:rFonts w:ascii="Calibri" w:hAnsi="Calibri" w:cs="Calibri"/>
                <w:sz w:val="20"/>
              </w:rPr>
            </w:pPr>
            <w:r w:rsidRPr="005C0E0A">
              <w:rPr>
                <w:rFonts w:ascii="Calibri" w:hAnsi="Calibri" w:cs="Calibri"/>
                <w:sz w:val="20"/>
              </w:rPr>
              <w:t>Mise en place d’un Système de Management de la Sécurité (SMSI).</w:t>
            </w:r>
          </w:p>
        </w:tc>
      </w:tr>
      <w:tr w:rsidR="00854175" w:rsidRPr="005C0E0A" w14:paraId="2E2CFF67" w14:textId="77777777" w:rsidTr="005C0E0A">
        <w:tc>
          <w:tcPr>
            <w:tcW w:w="0" w:type="auto"/>
            <w:hideMark/>
          </w:tcPr>
          <w:p w14:paraId="6D9DB61C" w14:textId="77777777" w:rsidR="00854175" w:rsidRPr="005C0E0A" w:rsidRDefault="00854175" w:rsidP="005C0E0A">
            <w:pPr>
              <w:jc w:val="left"/>
              <w:rPr>
                <w:rFonts w:ascii="Calibri" w:hAnsi="Calibri" w:cs="Calibri"/>
                <w:sz w:val="20"/>
              </w:rPr>
            </w:pPr>
            <w:r w:rsidRPr="005C0E0A">
              <w:rPr>
                <w:rFonts w:ascii="Calibri" w:hAnsi="Calibri" w:cs="Calibri"/>
                <w:b/>
                <w:bCs/>
                <w:sz w:val="20"/>
              </w:rPr>
              <w:t>ISO/IEC 27005:2022</w:t>
            </w:r>
          </w:p>
        </w:tc>
        <w:tc>
          <w:tcPr>
            <w:tcW w:w="0" w:type="auto"/>
            <w:hideMark/>
          </w:tcPr>
          <w:p w14:paraId="56604E20" w14:textId="77777777" w:rsidR="00854175" w:rsidRPr="005C0E0A" w:rsidRDefault="00854175" w:rsidP="005C0E0A">
            <w:pPr>
              <w:jc w:val="left"/>
              <w:rPr>
                <w:rFonts w:ascii="Calibri" w:hAnsi="Calibri" w:cs="Calibri"/>
                <w:sz w:val="20"/>
              </w:rPr>
            </w:pPr>
            <w:r w:rsidRPr="005C0E0A">
              <w:rPr>
                <w:rFonts w:ascii="Calibri" w:hAnsi="Calibri" w:cs="Calibri"/>
                <w:sz w:val="20"/>
              </w:rPr>
              <w:t>Gestion du risque SI</w:t>
            </w:r>
          </w:p>
        </w:tc>
        <w:tc>
          <w:tcPr>
            <w:tcW w:w="0" w:type="auto"/>
            <w:hideMark/>
          </w:tcPr>
          <w:p w14:paraId="47A20880" w14:textId="77777777" w:rsidR="00854175" w:rsidRPr="005C0E0A" w:rsidRDefault="00854175" w:rsidP="005C0E0A">
            <w:pPr>
              <w:jc w:val="left"/>
              <w:rPr>
                <w:rFonts w:ascii="Calibri" w:hAnsi="Calibri" w:cs="Calibri"/>
                <w:sz w:val="20"/>
              </w:rPr>
            </w:pPr>
            <w:r w:rsidRPr="005C0E0A">
              <w:rPr>
                <w:rFonts w:ascii="Calibri" w:hAnsi="Calibri" w:cs="Calibri"/>
                <w:sz w:val="20"/>
              </w:rPr>
              <w:t>Identification et traitement des risques liés à l’information.</w:t>
            </w:r>
          </w:p>
        </w:tc>
      </w:tr>
      <w:tr w:rsidR="00854175" w:rsidRPr="005C0E0A" w14:paraId="7A609FE4" w14:textId="77777777" w:rsidTr="005C0E0A">
        <w:tc>
          <w:tcPr>
            <w:tcW w:w="0" w:type="auto"/>
            <w:hideMark/>
          </w:tcPr>
          <w:p w14:paraId="0F4ED149" w14:textId="77777777" w:rsidR="00854175" w:rsidRPr="005C0E0A" w:rsidRDefault="00854175" w:rsidP="005C0E0A">
            <w:pPr>
              <w:jc w:val="left"/>
              <w:rPr>
                <w:rFonts w:ascii="Calibri" w:hAnsi="Calibri" w:cs="Calibri"/>
                <w:sz w:val="20"/>
              </w:rPr>
            </w:pPr>
            <w:r w:rsidRPr="005C0E0A">
              <w:rPr>
                <w:rFonts w:ascii="Calibri" w:hAnsi="Calibri" w:cs="Calibri"/>
                <w:b/>
                <w:bCs/>
                <w:sz w:val="20"/>
              </w:rPr>
              <w:t>ITIL (v5, 2026)</w:t>
            </w:r>
          </w:p>
        </w:tc>
        <w:tc>
          <w:tcPr>
            <w:tcW w:w="0" w:type="auto"/>
            <w:hideMark/>
          </w:tcPr>
          <w:p w14:paraId="5DBFA034" w14:textId="77777777" w:rsidR="00854175" w:rsidRPr="005C0E0A" w:rsidRDefault="00854175" w:rsidP="005C0E0A">
            <w:pPr>
              <w:jc w:val="left"/>
              <w:rPr>
                <w:rFonts w:ascii="Calibri" w:hAnsi="Calibri" w:cs="Calibri"/>
                <w:sz w:val="20"/>
              </w:rPr>
            </w:pPr>
            <w:r w:rsidRPr="005C0E0A">
              <w:rPr>
                <w:rFonts w:ascii="Calibri" w:hAnsi="Calibri" w:cs="Calibri"/>
                <w:sz w:val="20"/>
              </w:rPr>
              <w:t>Gestion des services informatiques</w:t>
            </w:r>
          </w:p>
        </w:tc>
        <w:tc>
          <w:tcPr>
            <w:tcW w:w="0" w:type="auto"/>
            <w:hideMark/>
          </w:tcPr>
          <w:p w14:paraId="1B71DE0F" w14:textId="77777777" w:rsidR="00854175" w:rsidRPr="005C0E0A" w:rsidRDefault="00854175" w:rsidP="005C0E0A">
            <w:pPr>
              <w:jc w:val="left"/>
              <w:rPr>
                <w:rFonts w:ascii="Calibri" w:hAnsi="Calibri" w:cs="Calibri"/>
                <w:sz w:val="20"/>
              </w:rPr>
            </w:pPr>
            <w:r w:rsidRPr="005C0E0A">
              <w:rPr>
                <w:rFonts w:ascii="Calibri" w:hAnsi="Calibri" w:cs="Calibri"/>
                <w:sz w:val="20"/>
              </w:rPr>
              <w:t>Amélioration de la qualité des services et support utilisateur.</w:t>
            </w:r>
          </w:p>
        </w:tc>
      </w:tr>
      <w:tr w:rsidR="00854175" w:rsidRPr="005C0E0A" w14:paraId="098D2A66" w14:textId="77777777" w:rsidTr="005C0E0A">
        <w:tc>
          <w:tcPr>
            <w:tcW w:w="0" w:type="auto"/>
            <w:hideMark/>
          </w:tcPr>
          <w:p w14:paraId="67E2E1BD" w14:textId="77777777" w:rsidR="00854175" w:rsidRPr="005C0E0A" w:rsidRDefault="00854175" w:rsidP="005C0E0A">
            <w:pPr>
              <w:jc w:val="left"/>
              <w:rPr>
                <w:rFonts w:ascii="Calibri" w:hAnsi="Calibri" w:cs="Calibri"/>
                <w:sz w:val="20"/>
              </w:rPr>
            </w:pPr>
            <w:r w:rsidRPr="005C0E0A">
              <w:rPr>
                <w:rFonts w:ascii="Calibri" w:hAnsi="Calibri" w:cs="Calibri"/>
                <w:b/>
                <w:bCs/>
                <w:sz w:val="20"/>
              </w:rPr>
              <w:t>COBIT 2019</w:t>
            </w:r>
          </w:p>
        </w:tc>
        <w:tc>
          <w:tcPr>
            <w:tcW w:w="0" w:type="auto"/>
            <w:hideMark/>
          </w:tcPr>
          <w:p w14:paraId="05FB0FDE" w14:textId="77777777" w:rsidR="00854175" w:rsidRPr="005C0E0A" w:rsidRDefault="00854175" w:rsidP="005C0E0A">
            <w:pPr>
              <w:jc w:val="left"/>
              <w:rPr>
                <w:rFonts w:ascii="Calibri" w:hAnsi="Calibri" w:cs="Calibri"/>
                <w:sz w:val="20"/>
              </w:rPr>
            </w:pPr>
            <w:r w:rsidRPr="005C0E0A">
              <w:rPr>
                <w:rFonts w:ascii="Calibri" w:hAnsi="Calibri" w:cs="Calibri"/>
                <w:sz w:val="20"/>
              </w:rPr>
              <w:t>Gouvernance du SI</w:t>
            </w:r>
          </w:p>
        </w:tc>
        <w:tc>
          <w:tcPr>
            <w:tcW w:w="0" w:type="auto"/>
            <w:hideMark/>
          </w:tcPr>
          <w:p w14:paraId="0B9C62F6" w14:textId="77777777" w:rsidR="00854175" w:rsidRPr="005C0E0A" w:rsidRDefault="00854175" w:rsidP="005C0E0A">
            <w:pPr>
              <w:jc w:val="left"/>
              <w:rPr>
                <w:rFonts w:ascii="Calibri" w:hAnsi="Calibri" w:cs="Calibri"/>
                <w:sz w:val="20"/>
              </w:rPr>
            </w:pPr>
            <w:r w:rsidRPr="005C0E0A">
              <w:rPr>
                <w:rFonts w:ascii="Calibri" w:hAnsi="Calibri" w:cs="Calibri"/>
                <w:sz w:val="20"/>
              </w:rPr>
              <w:t>Alignement stratégique, mesure de la valeur et maîtrise des risques.</w:t>
            </w:r>
          </w:p>
        </w:tc>
      </w:tr>
      <w:tr w:rsidR="00854175" w:rsidRPr="005C0E0A" w14:paraId="180C24D5" w14:textId="77777777" w:rsidTr="005C0E0A">
        <w:tc>
          <w:tcPr>
            <w:tcW w:w="0" w:type="auto"/>
            <w:hideMark/>
          </w:tcPr>
          <w:p w14:paraId="07A032EC" w14:textId="77777777" w:rsidR="00854175" w:rsidRPr="005C0E0A" w:rsidRDefault="00854175" w:rsidP="005C0E0A">
            <w:pPr>
              <w:jc w:val="left"/>
              <w:rPr>
                <w:rFonts w:ascii="Calibri" w:hAnsi="Calibri" w:cs="Calibri"/>
                <w:sz w:val="20"/>
              </w:rPr>
            </w:pPr>
            <w:r w:rsidRPr="005C0E0A">
              <w:rPr>
                <w:rFonts w:ascii="Calibri" w:hAnsi="Calibri" w:cs="Calibri"/>
                <w:b/>
                <w:bCs/>
                <w:sz w:val="20"/>
              </w:rPr>
              <w:t>ISO 22301:2019</w:t>
            </w:r>
          </w:p>
        </w:tc>
        <w:tc>
          <w:tcPr>
            <w:tcW w:w="0" w:type="auto"/>
            <w:hideMark/>
          </w:tcPr>
          <w:p w14:paraId="27CE2D20" w14:textId="77777777" w:rsidR="00854175" w:rsidRPr="005C0E0A" w:rsidRDefault="00854175" w:rsidP="005C0E0A">
            <w:pPr>
              <w:jc w:val="left"/>
              <w:rPr>
                <w:rFonts w:ascii="Calibri" w:hAnsi="Calibri" w:cs="Calibri"/>
                <w:sz w:val="20"/>
              </w:rPr>
            </w:pPr>
            <w:r w:rsidRPr="005C0E0A">
              <w:rPr>
                <w:rFonts w:ascii="Calibri" w:hAnsi="Calibri" w:cs="Calibri"/>
                <w:sz w:val="20"/>
              </w:rPr>
              <w:t>Continuité d’activité</w:t>
            </w:r>
          </w:p>
        </w:tc>
        <w:tc>
          <w:tcPr>
            <w:tcW w:w="0" w:type="auto"/>
            <w:hideMark/>
          </w:tcPr>
          <w:p w14:paraId="2BA5F09B" w14:textId="77777777" w:rsidR="00854175" w:rsidRPr="005C0E0A" w:rsidRDefault="00854175" w:rsidP="005C0E0A">
            <w:pPr>
              <w:jc w:val="left"/>
              <w:rPr>
                <w:rFonts w:ascii="Calibri" w:hAnsi="Calibri" w:cs="Calibri"/>
                <w:sz w:val="20"/>
              </w:rPr>
            </w:pPr>
            <w:r w:rsidRPr="005C0E0A">
              <w:rPr>
                <w:rFonts w:ascii="Calibri" w:hAnsi="Calibri" w:cs="Calibri"/>
                <w:sz w:val="20"/>
              </w:rPr>
              <w:t>Préparation et résilience face aux crises.</w:t>
            </w:r>
          </w:p>
        </w:tc>
      </w:tr>
    </w:tbl>
    <w:p w14:paraId="24EDAD89" w14:textId="00FB199C" w:rsidR="00854175" w:rsidRPr="00854175" w:rsidRDefault="00854175" w:rsidP="005C0E0A">
      <w:pPr>
        <w:spacing w:line="240" w:lineRule="auto"/>
      </w:pPr>
      <w:r w:rsidRPr="00854175">
        <w:rPr>
          <w:rFonts w:ascii="Segoe UI Emoji" w:hAnsi="Segoe UI Emoji" w:cs="Segoe UI Emoji"/>
        </w:rPr>
        <w:t>Ces références aident à structurer des objectifs et des pratiques</w:t>
      </w:r>
      <w:r w:rsidR="005C0E0A">
        <w:rPr>
          <w:rFonts w:ascii="Segoe UI Emoji" w:hAnsi="Segoe UI Emoji" w:cs="Segoe UI Emoji"/>
        </w:rPr>
        <w:t> ;</w:t>
      </w:r>
      <w:r w:rsidRPr="00854175">
        <w:rPr>
          <w:rFonts w:ascii="Segoe UI Emoji" w:hAnsi="Segoe UI Emoji" w:cs="Segoe UI Emoji"/>
        </w:rPr>
        <w:t xml:space="preserve"> elles n’établissent pas automatiquement la conformité ou la performance d’un SI.</w:t>
      </w:r>
    </w:p>
    <w:p w14:paraId="745F4B95" w14:textId="2670BFAE"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3. Le cycle PDCA</w:t>
      </w:r>
      <w:r w:rsidR="005C0E0A">
        <w:rPr>
          <w:b/>
          <w:bCs/>
        </w:rPr>
        <w:t> :</w:t>
      </w:r>
      <w:r w:rsidRPr="00854175">
        <w:rPr>
          <w:b/>
          <w:bCs/>
        </w:rPr>
        <w:t xml:space="preserve"> piloter la qualité et la sécurité du SI</w:t>
      </w:r>
    </w:p>
    <w:p w14:paraId="06E3937C" w14:textId="77777777" w:rsidR="00854175" w:rsidRPr="00854175" w:rsidRDefault="00854175" w:rsidP="005C0E0A">
      <w:pPr>
        <w:spacing w:line="240" w:lineRule="auto"/>
      </w:pPr>
      <w:r w:rsidRPr="00854175">
        <w:t>Le cycle PDCA (Plan–Do–Check–Act) est une logique d’amélioration continue utilisée dans de nombreux systèmes de management, notamment ceux fondés sur ISO 9001 et ISO/IEC 27001. Il ne constitue pas à lui seul une preuve de conformité.</w:t>
      </w:r>
    </w:p>
    <w:tbl>
      <w:tblPr>
        <w:tblStyle w:val="Grilledutableau"/>
        <w:tblW w:w="0" w:type="auto"/>
        <w:tblLook w:val="04A0" w:firstRow="1" w:lastRow="0" w:firstColumn="1" w:lastColumn="0" w:noHBand="0" w:noVBand="1"/>
      </w:tblPr>
      <w:tblGrid>
        <w:gridCol w:w="2005"/>
        <w:gridCol w:w="4017"/>
        <w:gridCol w:w="4434"/>
      </w:tblGrid>
      <w:tr w:rsidR="00854175" w:rsidRPr="005C0E0A" w14:paraId="6E14C908" w14:textId="77777777" w:rsidTr="005C0E0A">
        <w:trPr>
          <w:tblHeader/>
        </w:trPr>
        <w:tc>
          <w:tcPr>
            <w:tcW w:w="0" w:type="auto"/>
            <w:hideMark/>
          </w:tcPr>
          <w:p w14:paraId="639DB55D" w14:textId="77777777" w:rsidR="00854175" w:rsidRPr="005C0E0A" w:rsidRDefault="00854175" w:rsidP="005C0E0A">
            <w:pPr>
              <w:jc w:val="left"/>
              <w:rPr>
                <w:rFonts w:ascii="Calibri" w:hAnsi="Calibri" w:cs="Calibri"/>
                <w:b/>
                <w:bCs/>
                <w:sz w:val="20"/>
              </w:rPr>
            </w:pPr>
            <w:r w:rsidRPr="005C0E0A">
              <w:rPr>
                <w:rFonts w:ascii="Calibri" w:hAnsi="Calibri" w:cs="Calibri"/>
                <w:b/>
                <w:bCs/>
                <w:sz w:val="20"/>
              </w:rPr>
              <w:t>Étape</w:t>
            </w:r>
          </w:p>
        </w:tc>
        <w:tc>
          <w:tcPr>
            <w:tcW w:w="0" w:type="auto"/>
            <w:hideMark/>
          </w:tcPr>
          <w:p w14:paraId="3443AF44" w14:textId="77777777" w:rsidR="00854175" w:rsidRPr="005C0E0A" w:rsidRDefault="00854175" w:rsidP="005C0E0A">
            <w:pPr>
              <w:jc w:val="left"/>
              <w:rPr>
                <w:rFonts w:ascii="Calibri" w:hAnsi="Calibri" w:cs="Calibri"/>
                <w:b/>
                <w:bCs/>
                <w:sz w:val="20"/>
              </w:rPr>
            </w:pPr>
            <w:r w:rsidRPr="005C0E0A">
              <w:rPr>
                <w:rFonts w:ascii="Calibri" w:hAnsi="Calibri" w:cs="Calibri"/>
                <w:b/>
                <w:bCs/>
                <w:sz w:val="20"/>
              </w:rPr>
              <w:t>Description</w:t>
            </w:r>
          </w:p>
        </w:tc>
        <w:tc>
          <w:tcPr>
            <w:tcW w:w="0" w:type="auto"/>
            <w:hideMark/>
          </w:tcPr>
          <w:p w14:paraId="23A78E8F" w14:textId="77777777" w:rsidR="00854175" w:rsidRPr="005C0E0A" w:rsidRDefault="00854175" w:rsidP="005C0E0A">
            <w:pPr>
              <w:jc w:val="left"/>
              <w:rPr>
                <w:rFonts w:ascii="Calibri" w:hAnsi="Calibri" w:cs="Calibri"/>
                <w:b/>
                <w:bCs/>
                <w:sz w:val="20"/>
              </w:rPr>
            </w:pPr>
            <w:r w:rsidRPr="005C0E0A">
              <w:rPr>
                <w:rFonts w:ascii="Calibri" w:hAnsi="Calibri" w:cs="Calibri"/>
                <w:b/>
                <w:bCs/>
                <w:sz w:val="20"/>
              </w:rPr>
              <w:t>Exemple d’action SI</w:t>
            </w:r>
          </w:p>
        </w:tc>
      </w:tr>
      <w:tr w:rsidR="00854175" w:rsidRPr="005C0E0A" w14:paraId="3517074B" w14:textId="77777777" w:rsidTr="005C0E0A">
        <w:tc>
          <w:tcPr>
            <w:tcW w:w="0" w:type="auto"/>
            <w:hideMark/>
          </w:tcPr>
          <w:p w14:paraId="2E7123E1" w14:textId="77777777" w:rsidR="00854175" w:rsidRPr="005C0E0A" w:rsidRDefault="00854175" w:rsidP="005C0E0A">
            <w:pPr>
              <w:jc w:val="left"/>
              <w:rPr>
                <w:rFonts w:ascii="Calibri" w:hAnsi="Calibri" w:cs="Calibri"/>
                <w:sz w:val="20"/>
              </w:rPr>
            </w:pPr>
            <w:r w:rsidRPr="005C0E0A">
              <w:rPr>
                <w:rFonts w:ascii="Calibri" w:hAnsi="Calibri" w:cs="Calibri"/>
                <w:b/>
                <w:bCs/>
                <w:sz w:val="20"/>
              </w:rPr>
              <w:t>Plan (Planifier)</w:t>
            </w:r>
          </w:p>
        </w:tc>
        <w:tc>
          <w:tcPr>
            <w:tcW w:w="0" w:type="auto"/>
            <w:hideMark/>
          </w:tcPr>
          <w:p w14:paraId="457A3ED6" w14:textId="77777777" w:rsidR="00854175" w:rsidRPr="005C0E0A" w:rsidRDefault="00854175" w:rsidP="005C0E0A">
            <w:pPr>
              <w:jc w:val="left"/>
              <w:rPr>
                <w:rFonts w:ascii="Calibri" w:hAnsi="Calibri" w:cs="Calibri"/>
                <w:sz w:val="20"/>
              </w:rPr>
            </w:pPr>
            <w:r w:rsidRPr="005C0E0A">
              <w:rPr>
                <w:rFonts w:ascii="Calibri" w:hAnsi="Calibri" w:cs="Calibri"/>
                <w:sz w:val="20"/>
              </w:rPr>
              <w:t>Identifier les objectifs qualité et les risques.</w:t>
            </w:r>
          </w:p>
        </w:tc>
        <w:tc>
          <w:tcPr>
            <w:tcW w:w="0" w:type="auto"/>
            <w:hideMark/>
          </w:tcPr>
          <w:p w14:paraId="7DC9783F" w14:textId="77777777" w:rsidR="00854175" w:rsidRPr="005C0E0A" w:rsidRDefault="00854175" w:rsidP="005C0E0A">
            <w:pPr>
              <w:jc w:val="left"/>
              <w:rPr>
                <w:rFonts w:ascii="Calibri" w:hAnsi="Calibri" w:cs="Calibri"/>
                <w:sz w:val="20"/>
              </w:rPr>
            </w:pPr>
            <w:r w:rsidRPr="005C0E0A">
              <w:rPr>
                <w:rFonts w:ascii="Calibri" w:hAnsi="Calibri" w:cs="Calibri"/>
                <w:sz w:val="20"/>
              </w:rPr>
              <w:t>Élaboration d’un plan qualité et sécurité du SI.</w:t>
            </w:r>
          </w:p>
        </w:tc>
      </w:tr>
      <w:tr w:rsidR="00854175" w:rsidRPr="005C0E0A" w14:paraId="77631AE5" w14:textId="77777777" w:rsidTr="005C0E0A">
        <w:tc>
          <w:tcPr>
            <w:tcW w:w="0" w:type="auto"/>
            <w:hideMark/>
          </w:tcPr>
          <w:p w14:paraId="4F7F8C35" w14:textId="77777777" w:rsidR="00854175" w:rsidRPr="005C0E0A" w:rsidRDefault="00854175" w:rsidP="005C0E0A">
            <w:pPr>
              <w:jc w:val="left"/>
              <w:rPr>
                <w:rFonts w:ascii="Calibri" w:hAnsi="Calibri" w:cs="Calibri"/>
                <w:sz w:val="20"/>
              </w:rPr>
            </w:pPr>
            <w:r w:rsidRPr="005C0E0A">
              <w:rPr>
                <w:rFonts w:ascii="Calibri" w:hAnsi="Calibri" w:cs="Calibri"/>
                <w:b/>
                <w:bCs/>
                <w:sz w:val="20"/>
              </w:rPr>
              <w:t>Do (Mettre en œuvre)</w:t>
            </w:r>
          </w:p>
        </w:tc>
        <w:tc>
          <w:tcPr>
            <w:tcW w:w="0" w:type="auto"/>
            <w:hideMark/>
          </w:tcPr>
          <w:p w14:paraId="6B329D6D" w14:textId="77777777" w:rsidR="00854175" w:rsidRPr="005C0E0A" w:rsidRDefault="00854175" w:rsidP="005C0E0A">
            <w:pPr>
              <w:jc w:val="left"/>
              <w:rPr>
                <w:rFonts w:ascii="Calibri" w:hAnsi="Calibri" w:cs="Calibri"/>
                <w:sz w:val="20"/>
              </w:rPr>
            </w:pPr>
            <w:r w:rsidRPr="005C0E0A">
              <w:rPr>
                <w:rFonts w:ascii="Calibri" w:hAnsi="Calibri" w:cs="Calibri"/>
                <w:sz w:val="20"/>
              </w:rPr>
              <w:t>Exécuter les actions planifiées.</w:t>
            </w:r>
          </w:p>
        </w:tc>
        <w:tc>
          <w:tcPr>
            <w:tcW w:w="0" w:type="auto"/>
            <w:hideMark/>
          </w:tcPr>
          <w:p w14:paraId="0FCE4614" w14:textId="77777777" w:rsidR="00854175" w:rsidRPr="005C0E0A" w:rsidRDefault="00854175" w:rsidP="005C0E0A">
            <w:pPr>
              <w:jc w:val="left"/>
              <w:rPr>
                <w:rFonts w:ascii="Calibri" w:hAnsi="Calibri" w:cs="Calibri"/>
                <w:sz w:val="20"/>
              </w:rPr>
            </w:pPr>
            <w:r w:rsidRPr="005C0E0A">
              <w:rPr>
                <w:rFonts w:ascii="Calibri" w:hAnsi="Calibri" w:cs="Calibri"/>
                <w:sz w:val="20"/>
              </w:rPr>
              <w:t>Déploiement de politiques d’accès et sauvegardes.</w:t>
            </w:r>
          </w:p>
        </w:tc>
      </w:tr>
      <w:tr w:rsidR="00854175" w:rsidRPr="005C0E0A" w14:paraId="3C2CDD09" w14:textId="77777777" w:rsidTr="005C0E0A">
        <w:tc>
          <w:tcPr>
            <w:tcW w:w="0" w:type="auto"/>
            <w:hideMark/>
          </w:tcPr>
          <w:p w14:paraId="300BB4C9" w14:textId="77777777" w:rsidR="00854175" w:rsidRPr="005C0E0A" w:rsidRDefault="00854175" w:rsidP="005C0E0A">
            <w:pPr>
              <w:jc w:val="left"/>
              <w:rPr>
                <w:rFonts w:ascii="Calibri" w:hAnsi="Calibri" w:cs="Calibri"/>
                <w:sz w:val="20"/>
              </w:rPr>
            </w:pPr>
            <w:r w:rsidRPr="005C0E0A">
              <w:rPr>
                <w:rFonts w:ascii="Calibri" w:hAnsi="Calibri" w:cs="Calibri"/>
                <w:b/>
                <w:bCs/>
                <w:sz w:val="20"/>
              </w:rPr>
              <w:t>Check (Vérifier)</w:t>
            </w:r>
          </w:p>
        </w:tc>
        <w:tc>
          <w:tcPr>
            <w:tcW w:w="0" w:type="auto"/>
            <w:hideMark/>
          </w:tcPr>
          <w:p w14:paraId="4C234495" w14:textId="77777777" w:rsidR="00854175" w:rsidRPr="005C0E0A" w:rsidRDefault="00854175" w:rsidP="005C0E0A">
            <w:pPr>
              <w:jc w:val="left"/>
              <w:rPr>
                <w:rFonts w:ascii="Calibri" w:hAnsi="Calibri" w:cs="Calibri"/>
                <w:sz w:val="20"/>
              </w:rPr>
            </w:pPr>
            <w:r w:rsidRPr="005C0E0A">
              <w:rPr>
                <w:rFonts w:ascii="Calibri" w:hAnsi="Calibri" w:cs="Calibri"/>
                <w:sz w:val="20"/>
              </w:rPr>
              <w:t>Mesurer les résultats et contrôler la conformité.</w:t>
            </w:r>
          </w:p>
        </w:tc>
        <w:tc>
          <w:tcPr>
            <w:tcW w:w="0" w:type="auto"/>
            <w:hideMark/>
          </w:tcPr>
          <w:p w14:paraId="000ADF80" w14:textId="77777777" w:rsidR="00854175" w:rsidRPr="005C0E0A" w:rsidRDefault="00854175" w:rsidP="005C0E0A">
            <w:pPr>
              <w:jc w:val="left"/>
              <w:rPr>
                <w:rFonts w:ascii="Calibri" w:hAnsi="Calibri" w:cs="Calibri"/>
                <w:sz w:val="20"/>
              </w:rPr>
            </w:pPr>
            <w:r w:rsidRPr="005C0E0A">
              <w:rPr>
                <w:rFonts w:ascii="Calibri" w:hAnsi="Calibri" w:cs="Calibri"/>
                <w:sz w:val="20"/>
              </w:rPr>
              <w:t>Audits internes, revues de performance.</w:t>
            </w:r>
          </w:p>
        </w:tc>
      </w:tr>
      <w:tr w:rsidR="00854175" w:rsidRPr="005C0E0A" w14:paraId="04D1EFCA" w14:textId="77777777" w:rsidTr="005C0E0A">
        <w:tc>
          <w:tcPr>
            <w:tcW w:w="0" w:type="auto"/>
            <w:hideMark/>
          </w:tcPr>
          <w:p w14:paraId="20286A34" w14:textId="77777777" w:rsidR="00854175" w:rsidRPr="005C0E0A" w:rsidRDefault="00854175" w:rsidP="005C0E0A">
            <w:pPr>
              <w:jc w:val="left"/>
              <w:rPr>
                <w:rFonts w:ascii="Calibri" w:hAnsi="Calibri" w:cs="Calibri"/>
                <w:sz w:val="20"/>
              </w:rPr>
            </w:pPr>
            <w:r w:rsidRPr="005C0E0A">
              <w:rPr>
                <w:rFonts w:ascii="Calibri" w:hAnsi="Calibri" w:cs="Calibri"/>
                <w:b/>
                <w:bCs/>
                <w:sz w:val="20"/>
              </w:rPr>
              <w:t>Act (Agir)</w:t>
            </w:r>
          </w:p>
        </w:tc>
        <w:tc>
          <w:tcPr>
            <w:tcW w:w="0" w:type="auto"/>
            <w:hideMark/>
          </w:tcPr>
          <w:p w14:paraId="497F1C64" w14:textId="77777777" w:rsidR="00854175" w:rsidRPr="005C0E0A" w:rsidRDefault="00854175" w:rsidP="005C0E0A">
            <w:pPr>
              <w:jc w:val="left"/>
              <w:rPr>
                <w:rFonts w:ascii="Calibri" w:hAnsi="Calibri" w:cs="Calibri"/>
                <w:sz w:val="20"/>
              </w:rPr>
            </w:pPr>
            <w:r w:rsidRPr="005C0E0A">
              <w:rPr>
                <w:rFonts w:ascii="Calibri" w:hAnsi="Calibri" w:cs="Calibri"/>
                <w:sz w:val="20"/>
              </w:rPr>
              <w:t>Corriger et améliorer en continu.</w:t>
            </w:r>
          </w:p>
        </w:tc>
        <w:tc>
          <w:tcPr>
            <w:tcW w:w="0" w:type="auto"/>
            <w:hideMark/>
          </w:tcPr>
          <w:p w14:paraId="2C70F774" w14:textId="77777777" w:rsidR="00854175" w:rsidRPr="005C0E0A" w:rsidRDefault="00854175" w:rsidP="005C0E0A">
            <w:pPr>
              <w:jc w:val="left"/>
              <w:rPr>
                <w:rFonts w:ascii="Calibri" w:hAnsi="Calibri" w:cs="Calibri"/>
                <w:sz w:val="20"/>
              </w:rPr>
            </w:pPr>
            <w:r w:rsidRPr="005C0E0A">
              <w:rPr>
                <w:rFonts w:ascii="Calibri" w:hAnsi="Calibri" w:cs="Calibri"/>
                <w:sz w:val="20"/>
              </w:rPr>
              <w:t>Ajustement des processus et mise à jour des normes.</w:t>
            </w:r>
          </w:p>
        </w:tc>
      </w:tr>
    </w:tbl>
    <w:p w14:paraId="04E8D946" w14:textId="77777777" w:rsidR="00854175" w:rsidRPr="00854175" w:rsidRDefault="00854175" w:rsidP="005C0E0A">
      <w:pPr>
        <w:spacing w:line="240" w:lineRule="auto"/>
      </w:pPr>
      <w:r w:rsidRPr="00854175">
        <w:rPr>
          <w:rFonts w:ascii="Segoe UI Emoji" w:hAnsi="Segoe UI Emoji" w:cs="Segoe UI Emoji"/>
        </w:rPr>
        <w:t>🔁</w:t>
      </w:r>
      <w:r w:rsidRPr="00854175">
        <w:t xml:space="preserve"> Le PDCA permet de </w:t>
      </w:r>
      <w:r w:rsidRPr="00854175">
        <w:rPr>
          <w:b/>
          <w:bCs/>
        </w:rPr>
        <w:t>structurer la démarche qualité</w:t>
      </w:r>
      <w:r w:rsidRPr="00854175">
        <w:t xml:space="preserve"> tout en assurant la </w:t>
      </w:r>
      <w:r w:rsidRPr="00854175">
        <w:rPr>
          <w:b/>
          <w:bCs/>
        </w:rPr>
        <w:t>traçabilité et la réactivité</w:t>
      </w:r>
      <w:r w:rsidRPr="00854175">
        <w:t xml:space="preserve"> du SI.</w:t>
      </w:r>
    </w:p>
    <w:p w14:paraId="0F7E130A" w14:textId="77777777" w:rsidR="00854175" w:rsidRPr="00854175" w:rsidRDefault="00854175" w:rsidP="005C0E0A">
      <w:pPr>
        <w:spacing w:line="240" w:lineRule="auto"/>
        <w:rPr>
          <w:b/>
          <w:bCs/>
        </w:rPr>
      </w:pPr>
      <w:r w:rsidRPr="00854175">
        <w:rPr>
          <w:rFonts w:ascii="Segoe UI Emoji" w:hAnsi="Segoe UI Emoji" w:cs="Segoe UI Emoji"/>
          <w:b/>
          <w:bCs/>
        </w:rPr>
        <w:lastRenderedPageBreak/>
        <w:t>🔐</w:t>
      </w:r>
      <w:r w:rsidRPr="00854175">
        <w:rPr>
          <w:b/>
          <w:bCs/>
        </w:rPr>
        <w:t xml:space="preserve"> 4. Le Système de Management de la Sécurité de l’Information (SMSI)</w:t>
      </w:r>
    </w:p>
    <w:p w14:paraId="72AD2B30" w14:textId="21651599" w:rsidR="00776212" w:rsidRDefault="00854175" w:rsidP="005C0E0A">
      <w:pPr>
        <w:spacing w:line="240" w:lineRule="auto"/>
      </w:pPr>
      <w:r w:rsidRPr="00854175">
        <w:t>Le SMSI est un système de management consacré aux risques pesant sur la sécurité de l’information. ISO/IEC 27001:2022 en définit les exigences</w:t>
      </w:r>
      <w:r w:rsidR="005C0E0A">
        <w:t> ;</w:t>
      </w:r>
      <w:r w:rsidRPr="00854175">
        <w:t xml:space="preserve"> son périmètre doit être fixé et l’efficacité de ses mesures vérifiée. Il peut s’articuler avec la gouvernance globale du SI.</w:t>
      </w:r>
    </w:p>
    <w:p w14:paraId="785ED85B" w14:textId="27FBC1A9" w:rsidR="00E975F7" w:rsidRDefault="00000000" w:rsidP="005C0E0A">
      <w:pPr>
        <w:spacing w:line="240" w:lineRule="auto"/>
      </w:pPr>
      <w:r>
        <w:t>Complément cybersécurité</w:t>
      </w:r>
      <w:r w:rsidR="005C0E0A">
        <w:t> :</w:t>
      </w:r>
      <w:r>
        <w:t xml:space="preserve"> le NIST CSF 2.0 distingue six fonctions </w:t>
      </w:r>
      <w:r w:rsidR="005C0E0A">
        <w:t>-</w:t>
      </w:r>
      <w:r>
        <w:t xml:space="preserve"> Govern, </w:t>
      </w:r>
      <w:proofErr w:type="spellStart"/>
      <w:r>
        <w:t>Identify</w:t>
      </w:r>
      <w:proofErr w:type="spellEnd"/>
      <w:r>
        <w:t xml:space="preserve">, Protect, </w:t>
      </w:r>
      <w:proofErr w:type="spellStart"/>
      <w:r>
        <w:t>Detect</w:t>
      </w:r>
      <w:proofErr w:type="spellEnd"/>
      <w:r>
        <w:t xml:space="preserve">, </w:t>
      </w:r>
      <w:proofErr w:type="spellStart"/>
      <w:r>
        <w:t>Respond</w:t>
      </w:r>
      <w:proofErr w:type="spellEnd"/>
      <w:r>
        <w:t xml:space="preserve">, </w:t>
      </w:r>
      <w:proofErr w:type="spellStart"/>
      <w:r>
        <w:t>Recover</w:t>
      </w:r>
      <w:proofErr w:type="spellEnd"/>
      <w:r>
        <w:t>. La fonction Govern rend explicites les décisions et responsabilités de maîtrise du risque cyber. Ce cadre volontaire ne remplace pas les obligations légales françaises ou européennes.</w:t>
      </w:r>
    </w:p>
    <w:p w14:paraId="699F0814" w14:textId="77777777" w:rsidR="00854175" w:rsidRPr="00854175" w:rsidRDefault="00854175" w:rsidP="005C0E0A">
      <w:pPr>
        <w:spacing w:line="240" w:lineRule="auto"/>
      </w:pPr>
      <w:r w:rsidRPr="00854175">
        <w:t xml:space="preserve">Il encadre les politiques, procédures et outils assurant la </w:t>
      </w:r>
      <w:r w:rsidRPr="00854175">
        <w:rPr>
          <w:b/>
          <w:bCs/>
        </w:rPr>
        <w:t>maîtrise des risques liés à l’information</w:t>
      </w:r>
      <w:r w:rsidRPr="00854175">
        <w:t>.</w:t>
      </w:r>
    </w:p>
    <w:p w14:paraId="1505CC32"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Composants du SMSI</w:t>
      </w:r>
    </w:p>
    <w:tbl>
      <w:tblPr>
        <w:tblStyle w:val="Grilledutableau"/>
        <w:tblW w:w="0" w:type="auto"/>
        <w:tblLook w:val="04A0" w:firstRow="1" w:lastRow="0" w:firstColumn="1" w:lastColumn="0" w:noHBand="0" w:noVBand="1"/>
      </w:tblPr>
      <w:tblGrid>
        <w:gridCol w:w="2076"/>
        <w:gridCol w:w="3295"/>
        <w:gridCol w:w="4110"/>
      </w:tblGrid>
      <w:tr w:rsidR="00854175" w:rsidRPr="005C0E0A" w14:paraId="2895555B" w14:textId="77777777" w:rsidTr="005C0E0A">
        <w:trPr>
          <w:tblHeader/>
        </w:trPr>
        <w:tc>
          <w:tcPr>
            <w:tcW w:w="0" w:type="auto"/>
            <w:hideMark/>
          </w:tcPr>
          <w:p w14:paraId="1A776758" w14:textId="77777777" w:rsidR="00854175" w:rsidRPr="005C0E0A" w:rsidRDefault="00854175" w:rsidP="005C0E0A">
            <w:pPr>
              <w:jc w:val="left"/>
              <w:rPr>
                <w:rFonts w:ascii="Calibri" w:hAnsi="Calibri" w:cs="Calibri"/>
                <w:b/>
                <w:bCs/>
                <w:sz w:val="20"/>
              </w:rPr>
            </w:pPr>
            <w:r w:rsidRPr="005C0E0A">
              <w:rPr>
                <w:rFonts w:ascii="Calibri" w:hAnsi="Calibri" w:cs="Calibri"/>
                <w:b/>
                <w:bCs/>
                <w:sz w:val="20"/>
              </w:rPr>
              <w:t>Élément</w:t>
            </w:r>
          </w:p>
        </w:tc>
        <w:tc>
          <w:tcPr>
            <w:tcW w:w="0" w:type="auto"/>
            <w:hideMark/>
          </w:tcPr>
          <w:p w14:paraId="71C451E3" w14:textId="77777777" w:rsidR="00854175" w:rsidRPr="005C0E0A" w:rsidRDefault="00854175" w:rsidP="005C0E0A">
            <w:pPr>
              <w:jc w:val="left"/>
              <w:rPr>
                <w:rFonts w:ascii="Calibri" w:hAnsi="Calibri" w:cs="Calibri"/>
                <w:b/>
                <w:bCs/>
                <w:sz w:val="20"/>
              </w:rPr>
            </w:pPr>
            <w:r w:rsidRPr="005C0E0A">
              <w:rPr>
                <w:rFonts w:ascii="Calibri" w:hAnsi="Calibri" w:cs="Calibri"/>
                <w:b/>
                <w:bCs/>
                <w:sz w:val="20"/>
              </w:rPr>
              <w:t>Fonction</w:t>
            </w:r>
          </w:p>
        </w:tc>
        <w:tc>
          <w:tcPr>
            <w:tcW w:w="0" w:type="auto"/>
            <w:hideMark/>
          </w:tcPr>
          <w:p w14:paraId="13867724" w14:textId="77777777" w:rsidR="00854175" w:rsidRPr="005C0E0A" w:rsidRDefault="00854175" w:rsidP="005C0E0A">
            <w:pPr>
              <w:jc w:val="left"/>
              <w:rPr>
                <w:rFonts w:ascii="Calibri" w:hAnsi="Calibri" w:cs="Calibri"/>
                <w:b/>
                <w:bCs/>
                <w:sz w:val="20"/>
              </w:rPr>
            </w:pPr>
            <w:r w:rsidRPr="005C0E0A">
              <w:rPr>
                <w:rFonts w:ascii="Calibri" w:hAnsi="Calibri" w:cs="Calibri"/>
                <w:b/>
                <w:bCs/>
                <w:sz w:val="20"/>
              </w:rPr>
              <w:t>Exemple</w:t>
            </w:r>
          </w:p>
        </w:tc>
      </w:tr>
      <w:tr w:rsidR="00854175" w:rsidRPr="005C0E0A" w14:paraId="7EAFD87B" w14:textId="77777777" w:rsidTr="005C0E0A">
        <w:tc>
          <w:tcPr>
            <w:tcW w:w="0" w:type="auto"/>
            <w:hideMark/>
          </w:tcPr>
          <w:p w14:paraId="03F83D28" w14:textId="77777777" w:rsidR="00854175" w:rsidRPr="005C0E0A" w:rsidRDefault="00854175" w:rsidP="005C0E0A">
            <w:pPr>
              <w:jc w:val="left"/>
              <w:rPr>
                <w:rFonts w:ascii="Calibri" w:hAnsi="Calibri" w:cs="Calibri"/>
                <w:sz w:val="20"/>
              </w:rPr>
            </w:pPr>
            <w:r w:rsidRPr="005C0E0A">
              <w:rPr>
                <w:rFonts w:ascii="Calibri" w:hAnsi="Calibri" w:cs="Calibri"/>
                <w:b/>
                <w:bCs/>
                <w:sz w:val="20"/>
              </w:rPr>
              <w:t>Politique de sécurité</w:t>
            </w:r>
          </w:p>
        </w:tc>
        <w:tc>
          <w:tcPr>
            <w:tcW w:w="0" w:type="auto"/>
            <w:hideMark/>
          </w:tcPr>
          <w:p w14:paraId="654EEABD" w14:textId="77777777" w:rsidR="00854175" w:rsidRPr="005C0E0A" w:rsidRDefault="00854175" w:rsidP="005C0E0A">
            <w:pPr>
              <w:jc w:val="left"/>
              <w:rPr>
                <w:rFonts w:ascii="Calibri" w:hAnsi="Calibri" w:cs="Calibri"/>
                <w:sz w:val="20"/>
              </w:rPr>
            </w:pPr>
            <w:r w:rsidRPr="005C0E0A">
              <w:rPr>
                <w:rFonts w:ascii="Calibri" w:hAnsi="Calibri" w:cs="Calibri"/>
                <w:sz w:val="20"/>
              </w:rPr>
              <w:t>Définir les objectifs et responsabilités.</w:t>
            </w:r>
          </w:p>
        </w:tc>
        <w:tc>
          <w:tcPr>
            <w:tcW w:w="0" w:type="auto"/>
            <w:hideMark/>
          </w:tcPr>
          <w:p w14:paraId="1F90523E" w14:textId="77777777" w:rsidR="00854175" w:rsidRPr="005C0E0A" w:rsidRDefault="00854175" w:rsidP="005C0E0A">
            <w:pPr>
              <w:jc w:val="left"/>
              <w:rPr>
                <w:rFonts w:ascii="Calibri" w:hAnsi="Calibri" w:cs="Calibri"/>
                <w:sz w:val="20"/>
              </w:rPr>
            </w:pPr>
            <w:r w:rsidRPr="005C0E0A">
              <w:rPr>
                <w:rFonts w:ascii="Calibri" w:hAnsi="Calibri" w:cs="Calibri"/>
                <w:sz w:val="20"/>
              </w:rPr>
              <w:t>Charte informatique, classification des données.</w:t>
            </w:r>
          </w:p>
        </w:tc>
      </w:tr>
      <w:tr w:rsidR="00854175" w:rsidRPr="005C0E0A" w14:paraId="56147FA8" w14:textId="77777777" w:rsidTr="005C0E0A">
        <w:tc>
          <w:tcPr>
            <w:tcW w:w="0" w:type="auto"/>
            <w:hideMark/>
          </w:tcPr>
          <w:p w14:paraId="3B10DD39" w14:textId="77777777" w:rsidR="00854175" w:rsidRPr="005C0E0A" w:rsidRDefault="00854175" w:rsidP="005C0E0A">
            <w:pPr>
              <w:jc w:val="left"/>
              <w:rPr>
                <w:rFonts w:ascii="Calibri" w:hAnsi="Calibri" w:cs="Calibri"/>
                <w:sz w:val="20"/>
              </w:rPr>
            </w:pPr>
            <w:r w:rsidRPr="005C0E0A">
              <w:rPr>
                <w:rFonts w:ascii="Calibri" w:hAnsi="Calibri" w:cs="Calibri"/>
                <w:b/>
                <w:bCs/>
                <w:sz w:val="20"/>
              </w:rPr>
              <w:t>Gestion des risques</w:t>
            </w:r>
          </w:p>
        </w:tc>
        <w:tc>
          <w:tcPr>
            <w:tcW w:w="0" w:type="auto"/>
            <w:hideMark/>
          </w:tcPr>
          <w:p w14:paraId="110394F9" w14:textId="77777777" w:rsidR="00854175" w:rsidRPr="005C0E0A" w:rsidRDefault="00854175" w:rsidP="005C0E0A">
            <w:pPr>
              <w:jc w:val="left"/>
              <w:rPr>
                <w:rFonts w:ascii="Calibri" w:hAnsi="Calibri" w:cs="Calibri"/>
                <w:sz w:val="20"/>
              </w:rPr>
            </w:pPr>
            <w:r w:rsidRPr="005C0E0A">
              <w:rPr>
                <w:rFonts w:ascii="Calibri" w:hAnsi="Calibri" w:cs="Calibri"/>
                <w:sz w:val="20"/>
              </w:rPr>
              <w:t>Identifier et hiérarchiser les menaces.</w:t>
            </w:r>
          </w:p>
        </w:tc>
        <w:tc>
          <w:tcPr>
            <w:tcW w:w="0" w:type="auto"/>
            <w:hideMark/>
          </w:tcPr>
          <w:p w14:paraId="5176CFF3" w14:textId="77777777" w:rsidR="00854175" w:rsidRPr="005C0E0A" w:rsidRDefault="00854175" w:rsidP="005C0E0A">
            <w:pPr>
              <w:jc w:val="left"/>
              <w:rPr>
                <w:rFonts w:ascii="Calibri" w:hAnsi="Calibri" w:cs="Calibri"/>
                <w:sz w:val="20"/>
              </w:rPr>
            </w:pPr>
            <w:r w:rsidRPr="005C0E0A">
              <w:rPr>
                <w:rFonts w:ascii="Calibri" w:hAnsi="Calibri" w:cs="Calibri"/>
                <w:sz w:val="20"/>
              </w:rPr>
              <w:t>Méthodes EBIOS, MEHARI, OCTAVE.</w:t>
            </w:r>
          </w:p>
        </w:tc>
      </w:tr>
      <w:tr w:rsidR="00854175" w:rsidRPr="005C0E0A" w14:paraId="59596820" w14:textId="77777777" w:rsidTr="005C0E0A">
        <w:tc>
          <w:tcPr>
            <w:tcW w:w="0" w:type="auto"/>
            <w:hideMark/>
          </w:tcPr>
          <w:p w14:paraId="6B723CD3" w14:textId="77777777" w:rsidR="00854175" w:rsidRPr="005C0E0A" w:rsidRDefault="00854175" w:rsidP="005C0E0A">
            <w:pPr>
              <w:jc w:val="left"/>
              <w:rPr>
                <w:rFonts w:ascii="Calibri" w:hAnsi="Calibri" w:cs="Calibri"/>
                <w:sz w:val="20"/>
              </w:rPr>
            </w:pPr>
            <w:r w:rsidRPr="005C0E0A">
              <w:rPr>
                <w:rFonts w:ascii="Calibri" w:hAnsi="Calibri" w:cs="Calibri"/>
                <w:b/>
                <w:bCs/>
                <w:sz w:val="20"/>
              </w:rPr>
              <w:t>Contrôles et audits</w:t>
            </w:r>
          </w:p>
        </w:tc>
        <w:tc>
          <w:tcPr>
            <w:tcW w:w="0" w:type="auto"/>
            <w:hideMark/>
          </w:tcPr>
          <w:p w14:paraId="189460F8" w14:textId="77777777" w:rsidR="00854175" w:rsidRPr="005C0E0A" w:rsidRDefault="00854175" w:rsidP="005C0E0A">
            <w:pPr>
              <w:jc w:val="left"/>
              <w:rPr>
                <w:rFonts w:ascii="Calibri" w:hAnsi="Calibri" w:cs="Calibri"/>
                <w:sz w:val="20"/>
              </w:rPr>
            </w:pPr>
            <w:r w:rsidRPr="005C0E0A">
              <w:rPr>
                <w:rFonts w:ascii="Calibri" w:hAnsi="Calibri" w:cs="Calibri"/>
                <w:sz w:val="20"/>
              </w:rPr>
              <w:t>Vérifier l’efficacité des mesures.</w:t>
            </w:r>
          </w:p>
        </w:tc>
        <w:tc>
          <w:tcPr>
            <w:tcW w:w="0" w:type="auto"/>
            <w:hideMark/>
          </w:tcPr>
          <w:p w14:paraId="0F58B661" w14:textId="77777777" w:rsidR="00854175" w:rsidRPr="005C0E0A" w:rsidRDefault="00854175" w:rsidP="005C0E0A">
            <w:pPr>
              <w:jc w:val="left"/>
              <w:rPr>
                <w:rFonts w:ascii="Calibri" w:hAnsi="Calibri" w:cs="Calibri"/>
                <w:sz w:val="20"/>
              </w:rPr>
            </w:pPr>
            <w:r w:rsidRPr="005C0E0A">
              <w:rPr>
                <w:rFonts w:ascii="Calibri" w:hAnsi="Calibri" w:cs="Calibri"/>
                <w:sz w:val="20"/>
              </w:rPr>
              <w:t>Audit interne, test de pénétration.</w:t>
            </w:r>
          </w:p>
        </w:tc>
      </w:tr>
      <w:tr w:rsidR="00854175" w:rsidRPr="005C0E0A" w14:paraId="029D9628" w14:textId="77777777" w:rsidTr="005C0E0A">
        <w:tc>
          <w:tcPr>
            <w:tcW w:w="0" w:type="auto"/>
            <w:hideMark/>
          </w:tcPr>
          <w:p w14:paraId="55FC7901" w14:textId="77777777" w:rsidR="00854175" w:rsidRPr="005C0E0A" w:rsidRDefault="00854175" w:rsidP="005C0E0A">
            <w:pPr>
              <w:jc w:val="left"/>
              <w:rPr>
                <w:rFonts w:ascii="Calibri" w:hAnsi="Calibri" w:cs="Calibri"/>
                <w:sz w:val="20"/>
              </w:rPr>
            </w:pPr>
            <w:r w:rsidRPr="005C0E0A">
              <w:rPr>
                <w:rFonts w:ascii="Calibri" w:hAnsi="Calibri" w:cs="Calibri"/>
                <w:b/>
                <w:bCs/>
                <w:sz w:val="20"/>
              </w:rPr>
              <w:t>Amélioration continue</w:t>
            </w:r>
          </w:p>
        </w:tc>
        <w:tc>
          <w:tcPr>
            <w:tcW w:w="0" w:type="auto"/>
            <w:hideMark/>
          </w:tcPr>
          <w:p w14:paraId="51BAEBFC" w14:textId="77777777" w:rsidR="00854175" w:rsidRPr="005C0E0A" w:rsidRDefault="00854175" w:rsidP="005C0E0A">
            <w:pPr>
              <w:jc w:val="left"/>
              <w:rPr>
                <w:rFonts w:ascii="Calibri" w:hAnsi="Calibri" w:cs="Calibri"/>
                <w:sz w:val="20"/>
              </w:rPr>
            </w:pPr>
            <w:r w:rsidRPr="005C0E0A">
              <w:rPr>
                <w:rFonts w:ascii="Calibri" w:hAnsi="Calibri" w:cs="Calibri"/>
                <w:sz w:val="20"/>
              </w:rPr>
              <w:t>Adapter la sécurité aux évolutions.</w:t>
            </w:r>
          </w:p>
        </w:tc>
        <w:tc>
          <w:tcPr>
            <w:tcW w:w="0" w:type="auto"/>
            <w:hideMark/>
          </w:tcPr>
          <w:p w14:paraId="0AFC0D79" w14:textId="77777777" w:rsidR="00854175" w:rsidRPr="005C0E0A" w:rsidRDefault="00854175" w:rsidP="005C0E0A">
            <w:pPr>
              <w:jc w:val="left"/>
              <w:rPr>
                <w:rFonts w:ascii="Calibri" w:hAnsi="Calibri" w:cs="Calibri"/>
                <w:sz w:val="20"/>
              </w:rPr>
            </w:pPr>
            <w:r w:rsidRPr="005C0E0A">
              <w:rPr>
                <w:rFonts w:ascii="Calibri" w:hAnsi="Calibri" w:cs="Calibri"/>
                <w:sz w:val="20"/>
              </w:rPr>
              <w:t>Veille technologique et réglementaire.</w:t>
            </w:r>
          </w:p>
        </w:tc>
      </w:tr>
    </w:tbl>
    <w:p w14:paraId="72961CAC" w14:textId="77777777" w:rsidR="00854175" w:rsidRPr="00854175" w:rsidRDefault="00854175" w:rsidP="005C0E0A">
      <w:pPr>
        <w:spacing w:line="240" w:lineRule="auto"/>
      </w:pPr>
      <w:r w:rsidRPr="00854175">
        <w:rPr>
          <w:rFonts w:ascii="Segoe UI Emoji" w:hAnsi="Segoe UI Emoji" w:cs="Segoe UI Emoji"/>
        </w:rPr>
        <w:t>💡</w:t>
      </w:r>
      <w:r w:rsidRPr="00854175">
        <w:t xml:space="preserve"> Le SMSI s’inscrit pleinement dans la </w:t>
      </w:r>
      <w:r w:rsidRPr="00854175">
        <w:rPr>
          <w:b/>
          <w:bCs/>
        </w:rPr>
        <w:t>démarche de qualité totale du SI</w:t>
      </w:r>
      <w:r w:rsidRPr="00854175">
        <w:t>.</w:t>
      </w:r>
    </w:p>
    <w:p w14:paraId="67B917BB"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5. Le contrôle et l’évaluation de la qualité du SI</w:t>
      </w:r>
    </w:p>
    <w:p w14:paraId="42D03F7E"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Indicateurs de pilotage</w:t>
      </w:r>
    </w:p>
    <w:tbl>
      <w:tblPr>
        <w:tblStyle w:val="Grilledutableau"/>
        <w:tblW w:w="0" w:type="auto"/>
        <w:tblLook w:val="04A0" w:firstRow="1" w:lastRow="0" w:firstColumn="1" w:lastColumn="0" w:noHBand="0" w:noVBand="1"/>
      </w:tblPr>
      <w:tblGrid>
        <w:gridCol w:w="2068"/>
        <w:gridCol w:w="3835"/>
        <w:gridCol w:w="3802"/>
      </w:tblGrid>
      <w:tr w:rsidR="00854175" w:rsidRPr="005C0E0A" w14:paraId="614EF497" w14:textId="77777777" w:rsidTr="005C0E0A">
        <w:trPr>
          <w:tblHeader/>
        </w:trPr>
        <w:tc>
          <w:tcPr>
            <w:tcW w:w="0" w:type="auto"/>
            <w:hideMark/>
          </w:tcPr>
          <w:p w14:paraId="4A20A774" w14:textId="77777777" w:rsidR="00854175" w:rsidRPr="005C0E0A" w:rsidRDefault="00854175" w:rsidP="005C0E0A">
            <w:pPr>
              <w:jc w:val="left"/>
              <w:rPr>
                <w:rFonts w:ascii="Calibri" w:hAnsi="Calibri" w:cs="Calibri"/>
                <w:b/>
                <w:bCs/>
                <w:sz w:val="20"/>
              </w:rPr>
            </w:pPr>
            <w:r w:rsidRPr="005C0E0A">
              <w:rPr>
                <w:rFonts w:ascii="Calibri" w:hAnsi="Calibri" w:cs="Calibri"/>
                <w:b/>
                <w:bCs/>
                <w:sz w:val="20"/>
              </w:rPr>
              <w:t>Domaine</w:t>
            </w:r>
          </w:p>
        </w:tc>
        <w:tc>
          <w:tcPr>
            <w:tcW w:w="0" w:type="auto"/>
            <w:hideMark/>
          </w:tcPr>
          <w:p w14:paraId="61C4EF72" w14:textId="77777777" w:rsidR="00854175" w:rsidRPr="005C0E0A" w:rsidRDefault="00854175" w:rsidP="005C0E0A">
            <w:pPr>
              <w:jc w:val="left"/>
              <w:rPr>
                <w:rFonts w:ascii="Calibri" w:hAnsi="Calibri" w:cs="Calibri"/>
                <w:b/>
                <w:bCs/>
                <w:sz w:val="20"/>
              </w:rPr>
            </w:pPr>
            <w:r w:rsidRPr="005C0E0A">
              <w:rPr>
                <w:rFonts w:ascii="Calibri" w:hAnsi="Calibri" w:cs="Calibri"/>
                <w:b/>
                <w:bCs/>
                <w:sz w:val="20"/>
              </w:rPr>
              <w:t>Exemple d’indicateur</w:t>
            </w:r>
          </w:p>
        </w:tc>
        <w:tc>
          <w:tcPr>
            <w:tcW w:w="0" w:type="auto"/>
            <w:hideMark/>
          </w:tcPr>
          <w:p w14:paraId="5B22CE3E" w14:textId="77777777" w:rsidR="00854175" w:rsidRPr="005C0E0A" w:rsidRDefault="00854175" w:rsidP="005C0E0A">
            <w:pPr>
              <w:jc w:val="left"/>
              <w:rPr>
                <w:rFonts w:ascii="Calibri" w:hAnsi="Calibri" w:cs="Calibri"/>
                <w:b/>
                <w:bCs/>
                <w:sz w:val="20"/>
              </w:rPr>
            </w:pPr>
            <w:r w:rsidRPr="005C0E0A">
              <w:rPr>
                <w:rFonts w:ascii="Calibri" w:hAnsi="Calibri" w:cs="Calibri"/>
                <w:b/>
                <w:bCs/>
                <w:sz w:val="20"/>
              </w:rPr>
              <w:t>Objectif</w:t>
            </w:r>
          </w:p>
        </w:tc>
      </w:tr>
      <w:tr w:rsidR="00854175" w:rsidRPr="005C0E0A" w14:paraId="0C49584A" w14:textId="77777777" w:rsidTr="005C0E0A">
        <w:tc>
          <w:tcPr>
            <w:tcW w:w="0" w:type="auto"/>
            <w:hideMark/>
          </w:tcPr>
          <w:p w14:paraId="2D0A3D6B" w14:textId="77777777" w:rsidR="00854175" w:rsidRPr="005C0E0A" w:rsidRDefault="00854175" w:rsidP="005C0E0A">
            <w:pPr>
              <w:jc w:val="left"/>
              <w:rPr>
                <w:rFonts w:ascii="Calibri" w:hAnsi="Calibri" w:cs="Calibri"/>
                <w:sz w:val="20"/>
              </w:rPr>
            </w:pPr>
            <w:r w:rsidRPr="005C0E0A">
              <w:rPr>
                <w:rFonts w:ascii="Calibri" w:hAnsi="Calibri" w:cs="Calibri"/>
                <w:b/>
                <w:bCs/>
                <w:sz w:val="20"/>
              </w:rPr>
              <w:t>Sécurité</w:t>
            </w:r>
          </w:p>
        </w:tc>
        <w:tc>
          <w:tcPr>
            <w:tcW w:w="0" w:type="auto"/>
            <w:hideMark/>
          </w:tcPr>
          <w:p w14:paraId="7CE2EF4F" w14:textId="77777777" w:rsidR="00854175" w:rsidRPr="005C0E0A" w:rsidRDefault="00854175" w:rsidP="005C0E0A">
            <w:pPr>
              <w:jc w:val="left"/>
              <w:rPr>
                <w:rFonts w:ascii="Calibri" w:hAnsi="Calibri" w:cs="Calibri"/>
                <w:sz w:val="20"/>
              </w:rPr>
            </w:pPr>
            <w:r w:rsidRPr="005C0E0A">
              <w:rPr>
                <w:rFonts w:ascii="Calibri" w:hAnsi="Calibri" w:cs="Calibri"/>
                <w:sz w:val="20"/>
              </w:rPr>
              <w:t>Taux d’incidents traités dans les délais.</w:t>
            </w:r>
          </w:p>
        </w:tc>
        <w:tc>
          <w:tcPr>
            <w:tcW w:w="0" w:type="auto"/>
            <w:hideMark/>
          </w:tcPr>
          <w:p w14:paraId="2903A7CE" w14:textId="77777777" w:rsidR="00854175" w:rsidRPr="005C0E0A" w:rsidRDefault="00854175" w:rsidP="005C0E0A">
            <w:pPr>
              <w:jc w:val="left"/>
              <w:rPr>
                <w:rFonts w:ascii="Calibri" w:hAnsi="Calibri" w:cs="Calibri"/>
                <w:sz w:val="20"/>
              </w:rPr>
            </w:pPr>
            <w:r w:rsidRPr="005C0E0A">
              <w:rPr>
                <w:rFonts w:ascii="Calibri" w:hAnsi="Calibri" w:cs="Calibri"/>
                <w:sz w:val="20"/>
              </w:rPr>
              <w:t>Cible fixée selon le risque et la période.</w:t>
            </w:r>
          </w:p>
        </w:tc>
      </w:tr>
      <w:tr w:rsidR="00854175" w:rsidRPr="005C0E0A" w14:paraId="43FC49CB" w14:textId="77777777" w:rsidTr="005C0E0A">
        <w:tc>
          <w:tcPr>
            <w:tcW w:w="0" w:type="auto"/>
            <w:hideMark/>
          </w:tcPr>
          <w:p w14:paraId="74CCC92D" w14:textId="77777777" w:rsidR="00854175" w:rsidRPr="005C0E0A" w:rsidRDefault="00854175" w:rsidP="005C0E0A">
            <w:pPr>
              <w:jc w:val="left"/>
              <w:rPr>
                <w:rFonts w:ascii="Calibri" w:hAnsi="Calibri" w:cs="Calibri"/>
                <w:sz w:val="20"/>
              </w:rPr>
            </w:pPr>
            <w:r w:rsidRPr="005C0E0A">
              <w:rPr>
                <w:rFonts w:ascii="Calibri" w:hAnsi="Calibri" w:cs="Calibri"/>
                <w:b/>
                <w:bCs/>
                <w:sz w:val="20"/>
              </w:rPr>
              <w:t>Disponibilité</w:t>
            </w:r>
          </w:p>
        </w:tc>
        <w:tc>
          <w:tcPr>
            <w:tcW w:w="0" w:type="auto"/>
            <w:hideMark/>
          </w:tcPr>
          <w:p w14:paraId="6F4EA953" w14:textId="77777777" w:rsidR="00854175" w:rsidRPr="005C0E0A" w:rsidRDefault="00854175" w:rsidP="005C0E0A">
            <w:pPr>
              <w:jc w:val="left"/>
              <w:rPr>
                <w:rFonts w:ascii="Calibri" w:hAnsi="Calibri" w:cs="Calibri"/>
                <w:sz w:val="20"/>
              </w:rPr>
            </w:pPr>
            <w:r w:rsidRPr="005C0E0A">
              <w:rPr>
                <w:rFonts w:ascii="Calibri" w:hAnsi="Calibri" w:cs="Calibri"/>
                <w:sz w:val="20"/>
              </w:rPr>
              <w:t>Taux d’uptime.</w:t>
            </w:r>
          </w:p>
        </w:tc>
        <w:tc>
          <w:tcPr>
            <w:tcW w:w="0" w:type="auto"/>
            <w:hideMark/>
          </w:tcPr>
          <w:p w14:paraId="37C2B73C" w14:textId="77777777" w:rsidR="00854175" w:rsidRPr="005C0E0A" w:rsidRDefault="00854175" w:rsidP="005C0E0A">
            <w:pPr>
              <w:jc w:val="left"/>
              <w:rPr>
                <w:rFonts w:ascii="Calibri" w:hAnsi="Calibri" w:cs="Calibri"/>
                <w:sz w:val="20"/>
              </w:rPr>
            </w:pPr>
            <w:r w:rsidRPr="005C0E0A">
              <w:rPr>
                <w:rFonts w:ascii="Calibri" w:hAnsi="Calibri" w:cs="Calibri"/>
                <w:sz w:val="20"/>
              </w:rPr>
              <w:t>Cible définie pour chaque service.</w:t>
            </w:r>
          </w:p>
        </w:tc>
      </w:tr>
      <w:tr w:rsidR="00854175" w:rsidRPr="005C0E0A" w14:paraId="0650153D" w14:textId="77777777" w:rsidTr="005C0E0A">
        <w:tc>
          <w:tcPr>
            <w:tcW w:w="0" w:type="auto"/>
            <w:hideMark/>
          </w:tcPr>
          <w:p w14:paraId="40A7D826" w14:textId="77777777" w:rsidR="00854175" w:rsidRPr="005C0E0A" w:rsidRDefault="00854175" w:rsidP="005C0E0A">
            <w:pPr>
              <w:jc w:val="left"/>
              <w:rPr>
                <w:rFonts w:ascii="Calibri" w:hAnsi="Calibri" w:cs="Calibri"/>
                <w:sz w:val="20"/>
              </w:rPr>
            </w:pPr>
            <w:r w:rsidRPr="005C0E0A">
              <w:rPr>
                <w:rFonts w:ascii="Calibri" w:hAnsi="Calibri" w:cs="Calibri"/>
                <w:b/>
                <w:bCs/>
                <w:sz w:val="20"/>
              </w:rPr>
              <w:t>Performance</w:t>
            </w:r>
          </w:p>
        </w:tc>
        <w:tc>
          <w:tcPr>
            <w:tcW w:w="0" w:type="auto"/>
            <w:hideMark/>
          </w:tcPr>
          <w:p w14:paraId="021BF6C3" w14:textId="77777777" w:rsidR="00854175" w:rsidRPr="005C0E0A" w:rsidRDefault="00854175" w:rsidP="005C0E0A">
            <w:pPr>
              <w:jc w:val="left"/>
              <w:rPr>
                <w:rFonts w:ascii="Calibri" w:hAnsi="Calibri" w:cs="Calibri"/>
                <w:sz w:val="20"/>
              </w:rPr>
            </w:pPr>
            <w:r w:rsidRPr="005C0E0A">
              <w:rPr>
                <w:rFonts w:ascii="Calibri" w:hAnsi="Calibri" w:cs="Calibri"/>
                <w:sz w:val="20"/>
              </w:rPr>
              <w:t>Temps de réponse moyen.</w:t>
            </w:r>
          </w:p>
        </w:tc>
        <w:tc>
          <w:tcPr>
            <w:tcW w:w="0" w:type="auto"/>
            <w:hideMark/>
          </w:tcPr>
          <w:p w14:paraId="05D638DC" w14:textId="77777777" w:rsidR="00854175" w:rsidRPr="005C0E0A" w:rsidRDefault="00854175" w:rsidP="005C0E0A">
            <w:pPr>
              <w:jc w:val="left"/>
              <w:rPr>
                <w:rFonts w:ascii="Calibri" w:hAnsi="Calibri" w:cs="Calibri"/>
                <w:sz w:val="20"/>
              </w:rPr>
            </w:pPr>
            <w:r w:rsidRPr="005C0E0A">
              <w:rPr>
                <w:rFonts w:ascii="Calibri" w:hAnsi="Calibri" w:cs="Calibri"/>
                <w:sz w:val="20"/>
              </w:rPr>
              <w:t>Cible établie selon le besoin métier.</w:t>
            </w:r>
          </w:p>
        </w:tc>
      </w:tr>
      <w:tr w:rsidR="00854175" w:rsidRPr="005C0E0A" w14:paraId="766858FF" w14:textId="77777777" w:rsidTr="005C0E0A">
        <w:tc>
          <w:tcPr>
            <w:tcW w:w="0" w:type="auto"/>
            <w:hideMark/>
          </w:tcPr>
          <w:p w14:paraId="494B69F1" w14:textId="77777777" w:rsidR="00854175" w:rsidRPr="005C0E0A" w:rsidRDefault="00854175" w:rsidP="005C0E0A">
            <w:pPr>
              <w:jc w:val="left"/>
              <w:rPr>
                <w:rFonts w:ascii="Calibri" w:hAnsi="Calibri" w:cs="Calibri"/>
                <w:sz w:val="20"/>
              </w:rPr>
            </w:pPr>
            <w:r w:rsidRPr="005C0E0A">
              <w:rPr>
                <w:rFonts w:ascii="Calibri" w:hAnsi="Calibri" w:cs="Calibri"/>
                <w:b/>
                <w:bCs/>
                <w:sz w:val="20"/>
              </w:rPr>
              <w:t>Satisfaction utilisateur</w:t>
            </w:r>
          </w:p>
        </w:tc>
        <w:tc>
          <w:tcPr>
            <w:tcW w:w="0" w:type="auto"/>
            <w:hideMark/>
          </w:tcPr>
          <w:p w14:paraId="6D2C1440" w14:textId="77777777" w:rsidR="00854175" w:rsidRPr="005C0E0A" w:rsidRDefault="00854175" w:rsidP="005C0E0A">
            <w:pPr>
              <w:jc w:val="left"/>
              <w:rPr>
                <w:rFonts w:ascii="Calibri" w:hAnsi="Calibri" w:cs="Calibri"/>
                <w:sz w:val="20"/>
              </w:rPr>
            </w:pPr>
            <w:r w:rsidRPr="005C0E0A">
              <w:rPr>
                <w:rFonts w:ascii="Calibri" w:hAnsi="Calibri" w:cs="Calibri"/>
                <w:sz w:val="20"/>
              </w:rPr>
              <w:t>Résultats d’enquête annuelle.</w:t>
            </w:r>
          </w:p>
        </w:tc>
        <w:tc>
          <w:tcPr>
            <w:tcW w:w="0" w:type="auto"/>
            <w:hideMark/>
          </w:tcPr>
          <w:p w14:paraId="4F11BC0F" w14:textId="77777777" w:rsidR="00854175" w:rsidRPr="005C0E0A" w:rsidRDefault="00854175" w:rsidP="005C0E0A">
            <w:pPr>
              <w:jc w:val="left"/>
              <w:rPr>
                <w:rFonts w:ascii="Calibri" w:hAnsi="Calibri" w:cs="Calibri"/>
                <w:sz w:val="20"/>
              </w:rPr>
            </w:pPr>
            <w:r w:rsidRPr="005C0E0A">
              <w:rPr>
                <w:rFonts w:ascii="Calibri" w:hAnsi="Calibri" w:cs="Calibri"/>
                <w:sz w:val="20"/>
              </w:rPr>
              <w:t>Objectif fixé avec une enquête définie.</w:t>
            </w:r>
          </w:p>
        </w:tc>
      </w:tr>
      <w:tr w:rsidR="00854175" w:rsidRPr="005C0E0A" w14:paraId="2812A161" w14:textId="77777777" w:rsidTr="005C0E0A">
        <w:tc>
          <w:tcPr>
            <w:tcW w:w="0" w:type="auto"/>
            <w:hideMark/>
          </w:tcPr>
          <w:p w14:paraId="1C2B2EC4" w14:textId="77777777" w:rsidR="00854175" w:rsidRPr="005C0E0A" w:rsidRDefault="00854175" w:rsidP="005C0E0A">
            <w:pPr>
              <w:jc w:val="left"/>
              <w:rPr>
                <w:rFonts w:ascii="Calibri" w:hAnsi="Calibri" w:cs="Calibri"/>
                <w:sz w:val="20"/>
              </w:rPr>
            </w:pPr>
            <w:r w:rsidRPr="005C0E0A">
              <w:rPr>
                <w:rFonts w:ascii="Calibri" w:hAnsi="Calibri" w:cs="Calibri"/>
                <w:b/>
                <w:bCs/>
                <w:sz w:val="20"/>
              </w:rPr>
              <w:t>Conformité</w:t>
            </w:r>
          </w:p>
        </w:tc>
        <w:tc>
          <w:tcPr>
            <w:tcW w:w="0" w:type="auto"/>
            <w:hideMark/>
          </w:tcPr>
          <w:p w14:paraId="3FADE00F" w14:textId="77777777" w:rsidR="00854175" w:rsidRPr="005C0E0A" w:rsidRDefault="00854175" w:rsidP="005C0E0A">
            <w:pPr>
              <w:jc w:val="left"/>
              <w:rPr>
                <w:rFonts w:ascii="Calibri" w:hAnsi="Calibri" w:cs="Calibri"/>
                <w:sz w:val="20"/>
              </w:rPr>
            </w:pPr>
            <w:r w:rsidRPr="005C0E0A">
              <w:rPr>
                <w:rFonts w:ascii="Calibri" w:hAnsi="Calibri" w:cs="Calibri"/>
                <w:sz w:val="20"/>
              </w:rPr>
              <w:t>Nombre d’audits conformes aux normes ISO.</w:t>
            </w:r>
          </w:p>
        </w:tc>
        <w:tc>
          <w:tcPr>
            <w:tcW w:w="0" w:type="auto"/>
            <w:hideMark/>
          </w:tcPr>
          <w:p w14:paraId="0C796489" w14:textId="77777777" w:rsidR="00854175" w:rsidRPr="005C0E0A" w:rsidRDefault="00854175" w:rsidP="005C0E0A">
            <w:pPr>
              <w:jc w:val="left"/>
              <w:rPr>
                <w:rFonts w:ascii="Calibri" w:hAnsi="Calibri" w:cs="Calibri"/>
                <w:sz w:val="20"/>
              </w:rPr>
            </w:pPr>
            <w:r w:rsidRPr="005C0E0A">
              <w:rPr>
                <w:rFonts w:ascii="Calibri" w:hAnsi="Calibri" w:cs="Calibri"/>
                <w:sz w:val="20"/>
              </w:rPr>
              <w:t>Critères adaptés aux obligations applicables.</w:t>
            </w:r>
          </w:p>
        </w:tc>
      </w:tr>
    </w:tbl>
    <w:p w14:paraId="6DC5D642"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Méthodes d’audit</w:t>
      </w:r>
    </w:p>
    <w:p w14:paraId="59B9A1E1" w14:textId="61684CE2" w:rsidR="00854175" w:rsidRPr="00854175" w:rsidRDefault="00854175">
      <w:pPr>
        <w:numPr>
          <w:ilvl w:val="0"/>
          <w:numId w:val="1"/>
        </w:numPr>
        <w:spacing w:line="240" w:lineRule="auto"/>
      </w:pPr>
      <w:r w:rsidRPr="00854175">
        <w:rPr>
          <w:b/>
          <w:bCs/>
        </w:rPr>
        <w:t>Audit interne</w:t>
      </w:r>
      <w:r w:rsidR="005C0E0A">
        <w:t> :</w:t>
      </w:r>
      <w:r w:rsidRPr="00854175">
        <w:t xml:space="preserve"> vérifie la conformité aux processus internes.</w:t>
      </w:r>
    </w:p>
    <w:p w14:paraId="418410FA" w14:textId="1DB4322D" w:rsidR="00854175" w:rsidRPr="00854175" w:rsidRDefault="00854175">
      <w:pPr>
        <w:numPr>
          <w:ilvl w:val="0"/>
          <w:numId w:val="1"/>
        </w:numPr>
        <w:spacing w:line="240" w:lineRule="auto"/>
      </w:pPr>
      <w:r w:rsidRPr="00854175">
        <w:rPr>
          <w:b/>
          <w:bCs/>
        </w:rPr>
        <w:t>Audit externe / certification</w:t>
      </w:r>
      <w:r w:rsidR="005C0E0A">
        <w:rPr>
          <w:b/>
          <w:bCs/>
        </w:rPr>
        <w:t> :</w:t>
      </w:r>
      <w:r w:rsidRPr="00854175">
        <w:rPr>
          <w:b/>
          <w:bCs/>
        </w:rPr>
        <w:t xml:space="preserve"> évaluation selon un périmètre et un référentiel de certification applicable (par exemple ISO/IEC 27001 pour le SMSI ou ISO 9001 pour un SMQ). COBIT et ITIL sont ici des cadres de référence, non des certifications de conformité globale du SI.</w:t>
      </w:r>
    </w:p>
    <w:p w14:paraId="028C114E" w14:textId="7D39C164" w:rsidR="00854175" w:rsidRPr="00854175" w:rsidRDefault="00854175">
      <w:pPr>
        <w:numPr>
          <w:ilvl w:val="0"/>
          <w:numId w:val="1"/>
        </w:numPr>
        <w:spacing w:line="240" w:lineRule="auto"/>
      </w:pPr>
      <w:r w:rsidRPr="00854175">
        <w:rPr>
          <w:b/>
          <w:bCs/>
        </w:rPr>
        <w:t>Audit technique</w:t>
      </w:r>
      <w:r w:rsidR="005C0E0A">
        <w:t> :</w:t>
      </w:r>
      <w:r w:rsidRPr="00854175">
        <w:t xml:space="preserve"> tests de sécurité, performance, sauvegarde.</w:t>
      </w:r>
    </w:p>
    <w:p w14:paraId="52807F94" w14:textId="0EDA1B8E" w:rsidR="00854175" w:rsidRPr="00854175" w:rsidRDefault="00854175">
      <w:pPr>
        <w:numPr>
          <w:ilvl w:val="0"/>
          <w:numId w:val="1"/>
        </w:numPr>
        <w:spacing w:line="240" w:lineRule="auto"/>
      </w:pPr>
      <w:r w:rsidRPr="00854175">
        <w:rPr>
          <w:b/>
          <w:bCs/>
        </w:rPr>
        <w:t>Audit organisationnel</w:t>
      </w:r>
      <w:r w:rsidR="005C0E0A">
        <w:rPr>
          <w:b/>
          <w:bCs/>
        </w:rPr>
        <w:t> :</w:t>
      </w:r>
      <w:r w:rsidRPr="00854175">
        <w:rPr>
          <w:b/>
          <w:bCs/>
        </w:rPr>
        <w:t xml:space="preserve"> vérifier les responsabilités, les processus, les habilitations et les mesures de conformité aux obligations effectivement applicables, dont le RGPD pour les traitements concernés.</w:t>
      </w:r>
    </w:p>
    <w:p w14:paraId="26AB2AFC" w14:textId="77777777" w:rsidR="00854175" w:rsidRPr="00854175" w:rsidRDefault="00854175" w:rsidP="005C0E0A">
      <w:pPr>
        <w:spacing w:line="240" w:lineRule="auto"/>
      </w:pPr>
      <w:r w:rsidRPr="00854175">
        <w:rPr>
          <w:rFonts w:ascii="Segoe UI Emoji" w:hAnsi="Segoe UI Emoji" w:cs="Segoe UI Emoji"/>
        </w:rPr>
        <w:t>📘</w:t>
      </w:r>
      <w:r w:rsidRPr="00854175">
        <w:t xml:space="preserve"> L’audit est un </w:t>
      </w:r>
      <w:r w:rsidRPr="00854175">
        <w:rPr>
          <w:b/>
          <w:bCs/>
        </w:rPr>
        <w:t>levier d’amélioration continue</w:t>
      </w:r>
      <w:r w:rsidRPr="00854175">
        <w:t xml:space="preserve"> et de </w:t>
      </w:r>
      <w:r w:rsidRPr="00854175">
        <w:rPr>
          <w:b/>
          <w:bCs/>
        </w:rPr>
        <w:t>confiance organisationnelle</w:t>
      </w:r>
      <w:r w:rsidRPr="00854175">
        <w:t>.</w:t>
      </w:r>
    </w:p>
    <w:p w14:paraId="0C24F954"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6. La résilience et la continuité du SI</w:t>
      </w:r>
    </w:p>
    <w:p w14:paraId="017DB614"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Définition</w:t>
      </w:r>
    </w:p>
    <w:p w14:paraId="4EBED756" w14:textId="77777777" w:rsidR="00854175" w:rsidRPr="00854175" w:rsidRDefault="00854175" w:rsidP="005C0E0A">
      <w:pPr>
        <w:spacing w:line="240" w:lineRule="auto"/>
      </w:pPr>
      <w:r w:rsidRPr="00854175">
        <w:t>La résilience du SI est l’aptitude à poursuivre les fonctions essentielles en mode dégradé puis à reprendre un niveau de service acceptable après un incident, selon des priorités définies par l’organisation.</w:t>
      </w:r>
    </w:p>
    <w:p w14:paraId="0A57CF52" w14:textId="77777777" w:rsidR="00E975F7" w:rsidRDefault="00000000" w:rsidP="005C0E0A">
      <w:pPr>
        <w:spacing w:line="240" w:lineRule="auto"/>
      </w:pPr>
      <w:r>
        <w:t>Pour un service critique, définir un objectif de temps de reprise (RTO), une perte de données maximale admissible (RPO) et un scénario d’essai. Une sauvegarde stockée mais jamais restaurée ne suffit pas à démontrer la capacité de reprise.</w:t>
      </w:r>
    </w:p>
    <w:p w14:paraId="65B929E5"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Outils et dispositifs</w:t>
      </w:r>
    </w:p>
    <w:tbl>
      <w:tblPr>
        <w:tblStyle w:val="Grilledutableau"/>
        <w:tblW w:w="0" w:type="auto"/>
        <w:tblLook w:val="04A0" w:firstRow="1" w:lastRow="0" w:firstColumn="1" w:lastColumn="0" w:noHBand="0" w:noVBand="1"/>
      </w:tblPr>
      <w:tblGrid>
        <w:gridCol w:w="2444"/>
        <w:gridCol w:w="5809"/>
        <w:gridCol w:w="2203"/>
      </w:tblGrid>
      <w:tr w:rsidR="00854175" w:rsidRPr="005C0E0A" w14:paraId="06088FDA" w14:textId="77777777" w:rsidTr="005C0E0A">
        <w:trPr>
          <w:tblHeader/>
        </w:trPr>
        <w:tc>
          <w:tcPr>
            <w:tcW w:w="0" w:type="auto"/>
            <w:hideMark/>
          </w:tcPr>
          <w:p w14:paraId="0B891D5F" w14:textId="77777777" w:rsidR="00854175" w:rsidRPr="005C0E0A" w:rsidRDefault="00854175" w:rsidP="005C0E0A">
            <w:pPr>
              <w:jc w:val="left"/>
              <w:rPr>
                <w:rFonts w:ascii="Calibri" w:hAnsi="Calibri" w:cs="Calibri"/>
                <w:b/>
                <w:bCs/>
                <w:sz w:val="20"/>
              </w:rPr>
            </w:pPr>
            <w:r w:rsidRPr="005C0E0A">
              <w:rPr>
                <w:rFonts w:ascii="Calibri" w:hAnsi="Calibri" w:cs="Calibri"/>
                <w:b/>
                <w:bCs/>
                <w:sz w:val="20"/>
              </w:rPr>
              <w:t>Outil / Plan</w:t>
            </w:r>
          </w:p>
        </w:tc>
        <w:tc>
          <w:tcPr>
            <w:tcW w:w="0" w:type="auto"/>
            <w:hideMark/>
          </w:tcPr>
          <w:p w14:paraId="26387D8F" w14:textId="77777777" w:rsidR="00854175" w:rsidRPr="005C0E0A" w:rsidRDefault="00854175" w:rsidP="005C0E0A">
            <w:pPr>
              <w:jc w:val="left"/>
              <w:rPr>
                <w:rFonts w:ascii="Calibri" w:hAnsi="Calibri" w:cs="Calibri"/>
                <w:b/>
                <w:bCs/>
                <w:sz w:val="20"/>
              </w:rPr>
            </w:pPr>
            <w:r w:rsidRPr="005C0E0A">
              <w:rPr>
                <w:rFonts w:ascii="Calibri" w:hAnsi="Calibri" w:cs="Calibri"/>
                <w:b/>
                <w:bCs/>
                <w:sz w:val="20"/>
              </w:rPr>
              <w:t>Description</w:t>
            </w:r>
          </w:p>
        </w:tc>
        <w:tc>
          <w:tcPr>
            <w:tcW w:w="0" w:type="auto"/>
            <w:hideMark/>
          </w:tcPr>
          <w:p w14:paraId="6035ABB1" w14:textId="77777777" w:rsidR="00854175" w:rsidRPr="005C0E0A" w:rsidRDefault="00854175" w:rsidP="005C0E0A">
            <w:pPr>
              <w:jc w:val="left"/>
              <w:rPr>
                <w:rFonts w:ascii="Calibri" w:hAnsi="Calibri" w:cs="Calibri"/>
                <w:b/>
                <w:bCs/>
                <w:sz w:val="20"/>
              </w:rPr>
            </w:pPr>
            <w:r w:rsidRPr="005C0E0A">
              <w:rPr>
                <w:rFonts w:ascii="Calibri" w:hAnsi="Calibri" w:cs="Calibri"/>
                <w:b/>
                <w:bCs/>
                <w:sz w:val="20"/>
              </w:rPr>
              <w:t>Objectif</w:t>
            </w:r>
          </w:p>
        </w:tc>
      </w:tr>
      <w:tr w:rsidR="00854175" w:rsidRPr="005C0E0A" w14:paraId="15073274" w14:textId="77777777" w:rsidTr="005C0E0A">
        <w:tc>
          <w:tcPr>
            <w:tcW w:w="0" w:type="auto"/>
            <w:hideMark/>
          </w:tcPr>
          <w:p w14:paraId="11835CEA" w14:textId="77777777" w:rsidR="00854175" w:rsidRPr="005C0E0A" w:rsidRDefault="00854175" w:rsidP="005C0E0A">
            <w:pPr>
              <w:jc w:val="left"/>
              <w:rPr>
                <w:rFonts w:ascii="Calibri" w:hAnsi="Calibri" w:cs="Calibri"/>
                <w:sz w:val="20"/>
              </w:rPr>
            </w:pPr>
            <w:r w:rsidRPr="005C0E0A">
              <w:rPr>
                <w:rFonts w:ascii="Calibri" w:hAnsi="Calibri" w:cs="Calibri"/>
                <w:b/>
                <w:bCs/>
                <w:sz w:val="20"/>
              </w:rPr>
              <w:t>PCA (Plan de Continuité d’Activité)</w:t>
            </w:r>
          </w:p>
        </w:tc>
        <w:tc>
          <w:tcPr>
            <w:tcW w:w="0" w:type="auto"/>
            <w:hideMark/>
          </w:tcPr>
          <w:p w14:paraId="779031C1" w14:textId="77777777" w:rsidR="00854175" w:rsidRPr="005C0E0A" w:rsidRDefault="00854175" w:rsidP="005C0E0A">
            <w:pPr>
              <w:jc w:val="left"/>
              <w:rPr>
                <w:rFonts w:ascii="Calibri" w:hAnsi="Calibri" w:cs="Calibri"/>
                <w:sz w:val="20"/>
              </w:rPr>
            </w:pPr>
            <w:r w:rsidRPr="005C0E0A">
              <w:rPr>
                <w:rFonts w:ascii="Calibri" w:hAnsi="Calibri" w:cs="Calibri"/>
                <w:sz w:val="20"/>
              </w:rPr>
              <w:t>Maintenir les fonctions vitales pendant la crise.</w:t>
            </w:r>
          </w:p>
        </w:tc>
        <w:tc>
          <w:tcPr>
            <w:tcW w:w="0" w:type="auto"/>
            <w:hideMark/>
          </w:tcPr>
          <w:p w14:paraId="71D1B484" w14:textId="77777777" w:rsidR="00854175" w:rsidRPr="005C0E0A" w:rsidRDefault="00854175" w:rsidP="005C0E0A">
            <w:pPr>
              <w:jc w:val="left"/>
              <w:rPr>
                <w:rFonts w:ascii="Calibri" w:hAnsi="Calibri" w:cs="Calibri"/>
                <w:sz w:val="20"/>
              </w:rPr>
            </w:pPr>
            <w:r w:rsidRPr="005C0E0A">
              <w:rPr>
                <w:rFonts w:ascii="Calibri" w:hAnsi="Calibri" w:cs="Calibri"/>
                <w:sz w:val="20"/>
              </w:rPr>
              <w:t>Réduction des interruptions.</w:t>
            </w:r>
          </w:p>
        </w:tc>
      </w:tr>
      <w:tr w:rsidR="00854175" w:rsidRPr="005C0E0A" w14:paraId="37066E8E" w14:textId="77777777" w:rsidTr="005C0E0A">
        <w:tc>
          <w:tcPr>
            <w:tcW w:w="0" w:type="auto"/>
            <w:hideMark/>
          </w:tcPr>
          <w:p w14:paraId="5027416A" w14:textId="77777777" w:rsidR="00854175" w:rsidRPr="005C0E0A" w:rsidRDefault="00854175" w:rsidP="005C0E0A">
            <w:pPr>
              <w:jc w:val="left"/>
              <w:rPr>
                <w:rFonts w:ascii="Calibri" w:hAnsi="Calibri" w:cs="Calibri"/>
                <w:sz w:val="20"/>
              </w:rPr>
            </w:pPr>
            <w:r w:rsidRPr="005C0E0A">
              <w:rPr>
                <w:rFonts w:ascii="Calibri" w:hAnsi="Calibri" w:cs="Calibri"/>
                <w:b/>
                <w:bCs/>
                <w:sz w:val="20"/>
              </w:rPr>
              <w:t>PRA (Plan de Reprise d’Activité)</w:t>
            </w:r>
          </w:p>
        </w:tc>
        <w:tc>
          <w:tcPr>
            <w:tcW w:w="0" w:type="auto"/>
            <w:hideMark/>
          </w:tcPr>
          <w:p w14:paraId="0D055EF8" w14:textId="77777777" w:rsidR="00854175" w:rsidRPr="005C0E0A" w:rsidRDefault="00854175" w:rsidP="005C0E0A">
            <w:pPr>
              <w:jc w:val="left"/>
              <w:rPr>
                <w:rFonts w:ascii="Calibri" w:hAnsi="Calibri" w:cs="Calibri"/>
                <w:sz w:val="20"/>
              </w:rPr>
            </w:pPr>
            <w:r w:rsidRPr="005C0E0A">
              <w:rPr>
                <w:rFonts w:ascii="Calibri" w:hAnsi="Calibri" w:cs="Calibri"/>
                <w:sz w:val="20"/>
              </w:rPr>
              <w:t>Restaurer le SI après un sinistre.</w:t>
            </w:r>
          </w:p>
        </w:tc>
        <w:tc>
          <w:tcPr>
            <w:tcW w:w="0" w:type="auto"/>
            <w:hideMark/>
          </w:tcPr>
          <w:p w14:paraId="2219134E" w14:textId="77777777" w:rsidR="00854175" w:rsidRPr="005C0E0A" w:rsidRDefault="00854175" w:rsidP="005C0E0A">
            <w:pPr>
              <w:jc w:val="left"/>
              <w:rPr>
                <w:rFonts w:ascii="Calibri" w:hAnsi="Calibri" w:cs="Calibri"/>
                <w:sz w:val="20"/>
              </w:rPr>
            </w:pPr>
            <w:r w:rsidRPr="005C0E0A">
              <w:rPr>
                <w:rFonts w:ascii="Calibri" w:hAnsi="Calibri" w:cs="Calibri"/>
                <w:sz w:val="20"/>
              </w:rPr>
              <w:t>Retour rapide à la normale.</w:t>
            </w:r>
          </w:p>
        </w:tc>
      </w:tr>
      <w:tr w:rsidR="00854175" w:rsidRPr="005C0E0A" w14:paraId="30425D86" w14:textId="77777777" w:rsidTr="005C0E0A">
        <w:tc>
          <w:tcPr>
            <w:tcW w:w="0" w:type="auto"/>
            <w:hideMark/>
          </w:tcPr>
          <w:p w14:paraId="0CCC018D" w14:textId="77777777" w:rsidR="00854175" w:rsidRPr="005C0E0A" w:rsidRDefault="00854175" w:rsidP="005C0E0A">
            <w:pPr>
              <w:jc w:val="left"/>
              <w:rPr>
                <w:rFonts w:ascii="Calibri" w:hAnsi="Calibri" w:cs="Calibri"/>
                <w:sz w:val="20"/>
              </w:rPr>
            </w:pPr>
            <w:r w:rsidRPr="005C0E0A">
              <w:rPr>
                <w:rFonts w:ascii="Calibri" w:hAnsi="Calibri" w:cs="Calibri"/>
                <w:b/>
                <w:bCs/>
                <w:sz w:val="20"/>
              </w:rPr>
              <w:t>Sauvegardes redondantes</w:t>
            </w:r>
          </w:p>
        </w:tc>
        <w:tc>
          <w:tcPr>
            <w:tcW w:w="0" w:type="auto"/>
            <w:hideMark/>
          </w:tcPr>
          <w:p w14:paraId="09642809" w14:textId="77777777" w:rsidR="00854175" w:rsidRPr="005C0E0A" w:rsidRDefault="00854175" w:rsidP="005C0E0A">
            <w:pPr>
              <w:jc w:val="left"/>
              <w:rPr>
                <w:rFonts w:ascii="Calibri" w:hAnsi="Calibri" w:cs="Calibri"/>
                <w:sz w:val="20"/>
              </w:rPr>
            </w:pPr>
            <w:r w:rsidRPr="005C0E0A">
              <w:rPr>
                <w:rFonts w:ascii="Calibri" w:hAnsi="Calibri" w:cs="Calibri"/>
                <w:sz w:val="20"/>
              </w:rPr>
              <w:t>Sauvegardes isolées et protégées, régulièrement restaurées et testées.</w:t>
            </w:r>
          </w:p>
        </w:tc>
        <w:tc>
          <w:tcPr>
            <w:tcW w:w="0" w:type="auto"/>
            <w:hideMark/>
          </w:tcPr>
          <w:p w14:paraId="6260A261" w14:textId="77777777" w:rsidR="00854175" w:rsidRPr="005C0E0A" w:rsidRDefault="00854175" w:rsidP="005C0E0A">
            <w:pPr>
              <w:jc w:val="left"/>
              <w:rPr>
                <w:rFonts w:ascii="Calibri" w:hAnsi="Calibri" w:cs="Calibri"/>
                <w:sz w:val="20"/>
              </w:rPr>
            </w:pPr>
            <w:r w:rsidRPr="005C0E0A">
              <w:rPr>
                <w:rFonts w:ascii="Calibri" w:hAnsi="Calibri" w:cs="Calibri"/>
                <w:sz w:val="20"/>
              </w:rPr>
              <w:t>Limiter les pertes de données.</w:t>
            </w:r>
          </w:p>
        </w:tc>
      </w:tr>
      <w:tr w:rsidR="00854175" w:rsidRPr="005C0E0A" w14:paraId="6F8D3E8A" w14:textId="77777777" w:rsidTr="005C0E0A">
        <w:tc>
          <w:tcPr>
            <w:tcW w:w="0" w:type="auto"/>
            <w:hideMark/>
          </w:tcPr>
          <w:p w14:paraId="7D0AA1F0" w14:textId="77777777" w:rsidR="00854175" w:rsidRPr="005C0E0A" w:rsidRDefault="00854175" w:rsidP="005C0E0A">
            <w:pPr>
              <w:jc w:val="left"/>
              <w:rPr>
                <w:rFonts w:ascii="Calibri" w:hAnsi="Calibri" w:cs="Calibri"/>
                <w:sz w:val="20"/>
              </w:rPr>
            </w:pPr>
            <w:r w:rsidRPr="005C0E0A">
              <w:rPr>
                <w:rFonts w:ascii="Calibri" w:hAnsi="Calibri" w:cs="Calibri"/>
                <w:b/>
                <w:bCs/>
                <w:sz w:val="20"/>
              </w:rPr>
              <w:t>Monitoring et alertes</w:t>
            </w:r>
          </w:p>
        </w:tc>
        <w:tc>
          <w:tcPr>
            <w:tcW w:w="0" w:type="auto"/>
            <w:hideMark/>
          </w:tcPr>
          <w:p w14:paraId="1BF3603D" w14:textId="483D4329" w:rsidR="00854175" w:rsidRPr="005C0E0A" w:rsidRDefault="00854175" w:rsidP="005C0E0A">
            <w:pPr>
              <w:jc w:val="left"/>
              <w:rPr>
                <w:rFonts w:ascii="Calibri" w:hAnsi="Calibri" w:cs="Calibri"/>
                <w:sz w:val="20"/>
              </w:rPr>
            </w:pPr>
            <w:r w:rsidRPr="005C0E0A">
              <w:rPr>
                <w:rFonts w:ascii="Calibri" w:hAnsi="Calibri" w:cs="Calibri"/>
                <w:sz w:val="20"/>
              </w:rPr>
              <w:t>Détection et alerte</w:t>
            </w:r>
            <w:r w:rsidR="005C0E0A" w:rsidRPr="005C0E0A">
              <w:rPr>
                <w:rFonts w:ascii="Calibri" w:hAnsi="Calibri" w:cs="Calibri"/>
                <w:sz w:val="20"/>
              </w:rPr>
              <w:t> ;</w:t>
            </w:r>
            <w:r w:rsidRPr="005C0E0A">
              <w:rPr>
                <w:rFonts w:ascii="Calibri" w:hAnsi="Calibri" w:cs="Calibri"/>
                <w:sz w:val="20"/>
              </w:rPr>
              <w:t xml:space="preserve"> la disponibilité réelle dépend des procédures de réponse et de leur efficacité.</w:t>
            </w:r>
          </w:p>
        </w:tc>
        <w:tc>
          <w:tcPr>
            <w:tcW w:w="0" w:type="auto"/>
            <w:hideMark/>
          </w:tcPr>
          <w:p w14:paraId="62BFB4F0" w14:textId="77777777" w:rsidR="00854175" w:rsidRPr="005C0E0A" w:rsidRDefault="00854175" w:rsidP="005C0E0A">
            <w:pPr>
              <w:jc w:val="left"/>
              <w:rPr>
                <w:rFonts w:ascii="Calibri" w:hAnsi="Calibri" w:cs="Calibri"/>
                <w:sz w:val="20"/>
              </w:rPr>
            </w:pPr>
            <w:r w:rsidRPr="005C0E0A">
              <w:rPr>
                <w:rFonts w:ascii="Calibri" w:hAnsi="Calibri" w:cs="Calibri"/>
                <w:sz w:val="20"/>
              </w:rPr>
              <w:t>Réaction immédiate.</w:t>
            </w:r>
          </w:p>
        </w:tc>
      </w:tr>
    </w:tbl>
    <w:p w14:paraId="18A52ECB" w14:textId="77777777" w:rsidR="00854175" w:rsidRPr="00854175" w:rsidRDefault="00854175" w:rsidP="005C0E0A">
      <w:pPr>
        <w:spacing w:line="240" w:lineRule="auto"/>
      </w:pPr>
      <w:r w:rsidRPr="00854175">
        <w:rPr>
          <w:rFonts w:ascii="Segoe UI Emoji" w:hAnsi="Segoe UI Emoji" w:cs="Segoe UI Emoji"/>
        </w:rPr>
        <w:t>💬</w:t>
      </w:r>
      <w:r w:rsidRPr="00854175">
        <w:t xml:space="preserve"> Une gouvernance efficace intègre la </w:t>
      </w:r>
      <w:r w:rsidRPr="00854175">
        <w:rPr>
          <w:b/>
          <w:bCs/>
        </w:rPr>
        <w:t>gestion de crise</w:t>
      </w:r>
      <w:r w:rsidRPr="00854175">
        <w:t xml:space="preserve"> comme un volet essentiel de la qualité du SI.</w:t>
      </w:r>
    </w:p>
    <w:p w14:paraId="0100665D"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7. Sensibilisation et culture qualité</w:t>
      </w:r>
    </w:p>
    <w:p w14:paraId="0763AC2B"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Formation et communication</w:t>
      </w:r>
    </w:p>
    <w:p w14:paraId="15D0B1CF" w14:textId="77777777" w:rsidR="00854175" w:rsidRPr="00854175" w:rsidRDefault="00854175">
      <w:pPr>
        <w:numPr>
          <w:ilvl w:val="0"/>
          <w:numId w:val="2"/>
        </w:numPr>
        <w:spacing w:line="240" w:lineRule="auto"/>
      </w:pPr>
      <w:r w:rsidRPr="00854175">
        <w:t>Sensibilisation des collaborateurs aux enjeux du SI.</w:t>
      </w:r>
    </w:p>
    <w:p w14:paraId="02421C6B" w14:textId="77777777" w:rsidR="00854175" w:rsidRPr="00854175" w:rsidRDefault="00854175">
      <w:pPr>
        <w:numPr>
          <w:ilvl w:val="0"/>
          <w:numId w:val="2"/>
        </w:numPr>
        <w:spacing w:line="240" w:lineRule="auto"/>
      </w:pPr>
      <w:r w:rsidRPr="00854175">
        <w:t>Diffusion des politiques de sécurité et de qualité.</w:t>
      </w:r>
    </w:p>
    <w:p w14:paraId="3D48F845" w14:textId="77777777" w:rsidR="00854175" w:rsidRPr="00854175" w:rsidRDefault="00854175">
      <w:pPr>
        <w:numPr>
          <w:ilvl w:val="0"/>
          <w:numId w:val="2"/>
        </w:numPr>
        <w:spacing w:line="240" w:lineRule="auto"/>
      </w:pPr>
      <w:r w:rsidRPr="00854175">
        <w:lastRenderedPageBreak/>
        <w:t>Intégration des bonnes pratiques dans les procédures internes.</w:t>
      </w:r>
    </w:p>
    <w:p w14:paraId="33694487"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Culture organisationnelle</w:t>
      </w:r>
    </w:p>
    <w:p w14:paraId="6876AC7B" w14:textId="77777777" w:rsidR="00854175" w:rsidRPr="00854175" w:rsidRDefault="00854175">
      <w:pPr>
        <w:numPr>
          <w:ilvl w:val="0"/>
          <w:numId w:val="3"/>
        </w:numPr>
        <w:spacing w:line="240" w:lineRule="auto"/>
      </w:pPr>
      <w:r w:rsidRPr="00854175">
        <w:t>Encourager la remontée d’incidents et d’améliorations.</w:t>
      </w:r>
    </w:p>
    <w:p w14:paraId="2BC3E8CA" w14:textId="77777777" w:rsidR="00854175" w:rsidRPr="00854175" w:rsidRDefault="00854175">
      <w:pPr>
        <w:numPr>
          <w:ilvl w:val="0"/>
          <w:numId w:val="3"/>
        </w:numPr>
        <w:spacing w:line="240" w:lineRule="auto"/>
      </w:pPr>
      <w:r w:rsidRPr="00854175">
        <w:t>Valoriser la qualité et la conformité comme levier de performance.</w:t>
      </w:r>
    </w:p>
    <w:p w14:paraId="15C65BC3" w14:textId="77777777" w:rsidR="00854175" w:rsidRPr="00854175" w:rsidRDefault="00854175">
      <w:pPr>
        <w:numPr>
          <w:ilvl w:val="0"/>
          <w:numId w:val="3"/>
        </w:numPr>
        <w:spacing w:line="240" w:lineRule="auto"/>
      </w:pPr>
      <w:r w:rsidRPr="00854175">
        <w:t>Mettre en place des tableaux de bord de pilotage qualité visibles.</w:t>
      </w:r>
    </w:p>
    <w:p w14:paraId="75BAFB2A" w14:textId="77777777" w:rsidR="00854175" w:rsidRPr="00854175" w:rsidRDefault="00854175" w:rsidP="005C0E0A">
      <w:pPr>
        <w:spacing w:line="240" w:lineRule="auto"/>
      </w:pPr>
      <w:r w:rsidRPr="00854175">
        <w:rPr>
          <w:rFonts w:ascii="Segoe UI Emoji" w:hAnsi="Segoe UI Emoji" w:cs="Segoe UI Emoji"/>
        </w:rPr>
        <w:t>🧩</w:t>
      </w:r>
      <w:r w:rsidRPr="00854175">
        <w:t xml:space="preserve"> La qualité du SI est avant tout </w:t>
      </w:r>
      <w:r w:rsidRPr="00854175">
        <w:rPr>
          <w:b/>
          <w:bCs/>
        </w:rPr>
        <w:t>une culture partagée</w:t>
      </w:r>
      <w:r w:rsidRPr="00854175">
        <w:t>, pas seulement une contrainte technique.</w:t>
      </w:r>
    </w:p>
    <w:p w14:paraId="0B10D8B2"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8. Bonnes pratiques à retenir</w:t>
      </w:r>
    </w:p>
    <w:p w14:paraId="2055CBC7" w14:textId="77777777" w:rsidR="00854175" w:rsidRPr="00854175" w:rsidRDefault="00854175">
      <w:pPr>
        <w:numPr>
          <w:ilvl w:val="0"/>
          <w:numId w:val="4"/>
        </w:numPr>
        <w:spacing w:line="240" w:lineRule="auto"/>
      </w:pPr>
      <w:r w:rsidRPr="00854175">
        <w:rPr>
          <w:b/>
          <w:bCs/>
        </w:rPr>
        <w:t>Formaliser la gouvernance du SI</w:t>
      </w:r>
      <w:r w:rsidRPr="00854175">
        <w:t xml:space="preserve"> (rôles, responsabilités, indicateurs).</w:t>
      </w:r>
    </w:p>
    <w:p w14:paraId="16776417" w14:textId="77777777" w:rsidR="00854175" w:rsidRPr="00854175" w:rsidRDefault="00854175">
      <w:pPr>
        <w:numPr>
          <w:ilvl w:val="0"/>
          <w:numId w:val="4"/>
        </w:numPr>
        <w:spacing w:line="240" w:lineRule="auto"/>
      </w:pPr>
      <w:r w:rsidRPr="00854175">
        <w:rPr>
          <w:b/>
          <w:bCs/>
        </w:rPr>
        <w:t>Choisir les référentiels adaptés au périmètre et aux objectifs (par exemple ISO 9001:2026, ISO/IEC 27001:2022, COBIT 2019 et ITIL version 5), en distinguant leurs statuts.</w:t>
      </w:r>
    </w:p>
    <w:p w14:paraId="7D47952D" w14:textId="77777777" w:rsidR="00854175" w:rsidRPr="00854175" w:rsidRDefault="00854175">
      <w:pPr>
        <w:numPr>
          <w:ilvl w:val="0"/>
          <w:numId w:val="4"/>
        </w:numPr>
        <w:spacing w:line="240" w:lineRule="auto"/>
      </w:pPr>
      <w:r w:rsidRPr="00854175">
        <w:rPr>
          <w:b/>
          <w:bCs/>
        </w:rPr>
        <w:t>Intégrer la gestion des risques</w:t>
      </w:r>
      <w:r w:rsidRPr="00854175">
        <w:t xml:space="preserve"> dans le pilotage global du SI.</w:t>
      </w:r>
    </w:p>
    <w:p w14:paraId="3E32E2D9" w14:textId="77777777" w:rsidR="00854175" w:rsidRPr="00854175" w:rsidRDefault="00854175">
      <w:pPr>
        <w:numPr>
          <w:ilvl w:val="0"/>
          <w:numId w:val="4"/>
        </w:numPr>
        <w:spacing w:line="240" w:lineRule="auto"/>
      </w:pPr>
      <w:r w:rsidRPr="00854175">
        <w:rPr>
          <w:b/>
          <w:bCs/>
        </w:rPr>
        <w:t>Mesurer la performance et la satisfaction utilisateur.</w:t>
      </w:r>
    </w:p>
    <w:p w14:paraId="41357048" w14:textId="77777777" w:rsidR="00854175" w:rsidRPr="00854175" w:rsidRDefault="00854175">
      <w:pPr>
        <w:numPr>
          <w:ilvl w:val="0"/>
          <w:numId w:val="4"/>
        </w:numPr>
        <w:spacing w:line="240" w:lineRule="auto"/>
      </w:pPr>
      <w:r w:rsidRPr="00854175">
        <w:rPr>
          <w:b/>
          <w:bCs/>
        </w:rPr>
        <w:t>Appliquer le cycle PDCA</w:t>
      </w:r>
      <w:r w:rsidRPr="00854175">
        <w:t xml:space="preserve"> pour l’amélioration continue.</w:t>
      </w:r>
    </w:p>
    <w:p w14:paraId="3A213EA4" w14:textId="77777777" w:rsidR="00854175" w:rsidRPr="00854175" w:rsidRDefault="00854175">
      <w:pPr>
        <w:numPr>
          <w:ilvl w:val="0"/>
          <w:numId w:val="4"/>
        </w:numPr>
        <w:spacing w:line="240" w:lineRule="auto"/>
      </w:pPr>
      <w:r w:rsidRPr="00854175">
        <w:rPr>
          <w:b/>
          <w:bCs/>
        </w:rPr>
        <w:t>Définir et tester les dispositions de continuité (PCA), de reprise informatique (PRA) et de restauration des sauvegardes, en précisant les priorités, RTO et RPO pertinents.</w:t>
      </w:r>
    </w:p>
    <w:p w14:paraId="286CF42B" w14:textId="77777777" w:rsidR="00854175" w:rsidRPr="00854175" w:rsidRDefault="00854175">
      <w:pPr>
        <w:numPr>
          <w:ilvl w:val="0"/>
          <w:numId w:val="4"/>
        </w:numPr>
        <w:spacing w:line="240" w:lineRule="auto"/>
      </w:pPr>
      <w:r w:rsidRPr="00854175">
        <w:rPr>
          <w:b/>
          <w:bCs/>
        </w:rPr>
        <w:t>Former et sensibiliser</w:t>
      </w:r>
      <w:r w:rsidRPr="00854175">
        <w:t xml:space="preserve"> l’ensemble du personnel.</w:t>
      </w:r>
    </w:p>
    <w:p w14:paraId="05AACDCC"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Références et ressources</w:t>
      </w:r>
    </w:p>
    <w:p w14:paraId="04A5B6CC" w14:textId="577866BB" w:rsidR="00854175" w:rsidRPr="00854175" w:rsidRDefault="00854175">
      <w:pPr>
        <w:numPr>
          <w:ilvl w:val="0"/>
          <w:numId w:val="5"/>
        </w:numPr>
        <w:spacing w:line="240" w:lineRule="auto"/>
      </w:pPr>
      <w:r w:rsidRPr="00854175">
        <w:rPr>
          <w:b/>
          <w:bCs/>
        </w:rPr>
        <w:t>ISO 9001:2026 – Système de management de la qualité</w:t>
      </w:r>
      <w:r w:rsidR="005C0E0A">
        <w:rPr>
          <w:b/>
          <w:bCs/>
        </w:rPr>
        <w:t> :</w:t>
      </w:r>
      <w:r w:rsidRPr="00854175">
        <w:rPr>
          <w:b/>
          <w:bCs/>
        </w:rPr>
        <w:t xml:space="preserve"> exigences</w:t>
      </w:r>
      <w:r w:rsidR="005C0E0A">
        <w:rPr>
          <w:b/>
          <w:bCs/>
        </w:rPr>
        <w:t> ;</w:t>
      </w:r>
      <w:r w:rsidRPr="00854175">
        <w:rPr>
          <w:b/>
          <w:bCs/>
        </w:rPr>
        <w:t xml:space="preserve"> édition 2015 remplacée en septembre 2026.</w:t>
      </w:r>
    </w:p>
    <w:p w14:paraId="64625F9D" w14:textId="1F31C2DB" w:rsidR="00854175" w:rsidRPr="00854175" w:rsidRDefault="00854175">
      <w:pPr>
        <w:numPr>
          <w:ilvl w:val="0"/>
          <w:numId w:val="5"/>
        </w:numPr>
        <w:spacing w:line="240" w:lineRule="auto"/>
      </w:pPr>
      <w:r w:rsidRPr="00854175">
        <w:rPr>
          <w:b/>
          <w:bCs/>
        </w:rPr>
        <w:t>ISO/IEC 27001:2022 – SMSI</w:t>
      </w:r>
      <w:r w:rsidR="005C0E0A">
        <w:rPr>
          <w:b/>
          <w:bCs/>
        </w:rPr>
        <w:t> ;</w:t>
      </w:r>
      <w:r w:rsidRPr="00854175">
        <w:rPr>
          <w:b/>
          <w:bCs/>
        </w:rPr>
        <w:t xml:space="preserve"> ISO/IEC 27005:2022 – Gestion des risques liés à la sécurité de l’information.</w:t>
      </w:r>
    </w:p>
    <w:p w14:paraId="2CFAEA05" w14:textId="014021A1" w:rsidR="00854175" w:rsidRPr="00854175" w:rsidRDefault="00854175">
      <w:pPr>
        <w:numPr>
          <w:ilvl w:val="0"/>
          <w:numId w:val="5"/>
        </w:numPr>
        <w:spacing w:line="240" w:lineRule="auto"/>
      </w:pPr>
      <w:r w:rsidRPr="00854175">
        <w:rPr>
          <w:b/>
          <w:bCs/>
        </w:rPr>
        <w:t xml:space="preserve">NIST, </w:t>
      </w:r>
      <w:proofErr w:type="spellStart"/>
      <w:r w:rsidRPr="00854175">
        <w:rPr>
          <w:b/>
          <w:bCs/>
        </w:rPr>
        <w:t>Cybersecurity</w:t>
      </w:r>
      <w:proofErr w:type="spellEnd"/>
      <w:r w:rsidRPr="00854175">
        <w:rPr>
          <w:b/>
          <w:bCs/>
        </w:rPr>
        <w:t xml:space="preserve"> Framework 2.0 (2024) </w:t>
      </w:r>
      <w:r w:rsidR="005C0E0A">
        <w:rPr>
          <w:b/>
          <w:bCs/>
        </w:rPr>
        <w:t>-</w:t>
      </w:r>
      <w:r w:rsidRPr="00854175">
        <w:rPr>
          <w:b/>
          <w:bCs/>
        </w:rPr>
        <w:t xml:space="preserve"> Gouvernance et gestion des risques cyber.</w:t>
      </w:r>
    </w:p>
    <w:p w14:paraId="30F08F72" w14:textId="35924314" w:rsidR="00854175" w:rsidRPr="005C0E0A" w:rsidRDefault="00854175">
      <w:pPr>
        <w:numPr>
          <w:ilvl w:val="0"/>
          <w:numId w:val="5"/>
        </w:numPr>
        <w:spacing w:line="240" w:lineRule="auto"/>
      </w:pPr>
      <w:r w:rsidRPr="005C0E0A">
        <w:rPr>
          <w:b/>
          <w:bCs/>
        </w:rPr>
        <w:t>ITIL (version 5, 2026) – Gestion des produits numériques et des services (</w:t>
      </w:r>
      <w:proofErr w:type="spellStart"/>
      <w:r w:rsidRPr="005C0E0A">
        <w:rPr>
          <w:b/>
          <w:bCs/>
        </w:rPr>
        <w:t>PeopleCert</w:t>
      </w:r>
      <w:proofErr w:type="spellEnd"/>
      <w:r w:rsidRPr="005C0E0A">
        <w:rPr>
          <w:b/>
          <w:bCs/>
        </w:rPr>
        <w:t>)</w:t>
      </w:r>
      <w:r w:rsidR="005C0E0A">
        <w:rPr>
          <w:b/>
          <w:bCs/>
        </w:rPr>
        <w:t> ;</w:t>
      </w:r>
      <w:r w:rsidRPr="005C0E0A">
        <w:rPr>
          <w:b/>
          <w:bCs/>
        </w:rPr>
        <w:t xml:space="preserve"> ITIL 4 reste une édition antérieure.</w:t>
      </w:r>
    </w:p>
    <w:p w14:paraId="17BBC2C9" w14:textId="77777777" w:rsidR="00854175" w:rsidRPr="00854175" w:rsidRDefault="00854175">
      <w:pPr>
        <w:numPr>
          <w:ilvl w:val="0"/>
          <w:numId w:val="5"/>
        </w:numPr>
        <w:spacing w:line="240" w:lineRule="auto"/>
        <w:rPr>
          <w:lang w:val="en-GB"/>
        </w:rPr>
      </w:pPr>
      <w:r w:rsidRPr="00854175">
        <w:rPr>
          <w:b/>
          <w:bCs/>
          <w:lang w:val="en-GB"/>
        </w:rPr>
        <w:t>COBIT 2019</w:t>
      </w:r>
      <w:r w:rsidRPr="00854175">
        <w:rPr>
          <w:lang w:val="en-GB"/>
        </w:rPr>
        <w:t xml:space="preserve"> – </w:t>
      </w:r>
      <w:r w:rsidRPr="00854175">
        <w:rPr>
          <w:i/>
          <w:iCs/>
          <w:lang w:val="en-GB"/>
        </w:rPr>
        <w:t>Framework for Governance and Management of IT.</w:t>
      </w:r>
    </w:p>
    <w:p w14:paraId="192C5F9B" w14:textId="60C6AEF9" w:rsidR="00854175" w:rsidRPr="00854175" w:rsidRDefault="00854175">
      <w:pPr>
        <w:numPr>
          <w:ilvl w:val="0"/>
          <w:numId w:val="5"/>
        </w:numPr>
        <w:spacing w:line="240" w:lineRule="auto"/>
      </w:pPr>
      <w:r w:rsidRPr="00854175">
        <w:rPr>
          <w:b/>
          <w:bCs/>
        </w:rPr>
        <w:t xml:space="preserve">ANSSI, Guide d’hygiène informatique (2017) </w:t>
      </w:r>
      <w:r w:rsidR="005C0E0A">
        <w:rPr>
          <w:b/>
          <w:bCs/>
        </w:rPr>
        <w:t>-</w:t>
      </w:r>
      <w:r w:rsidRPr="00854175">
        <w:rPr>
          <w:b/>
          <w:bCs/>
        </w:rPr>
        <w:t xml:space="preserve"> 42 mesures essentielles.</w:t>
      </w:r>
    </w:p>
    <w:p w14:paraId="565C74D4" w14:textId="77777777" w:rsidR="00854175" w:rsidRPr="00854175" w:rsidRDefault="00854175">
      <w:pPr>
        <w:numPr>
          <w:ilvl w:val="0"/>
          <w:numId w:val="5"/>
        </w:numPr>
        <w:spacing w:line="240" w:lineRule="auto"/>
      </w:pPr>
      <w:proofErr w:type="spellStart"/>
      <w:r w:rsidRPr="00854175">
        <w:rPr>
          <w:b/>
          <w:bCs/>
        </w:rPr>
        <w:t>Phalippon</w:t>
      </w:r>
      <w:proofErr w:type="spellEnd"/>
      <w:r w:rsidRPr="00854175">
        <w:rPr>
          <w:b/>
          <w:bCs/>
        </w:rPr>
        <w:t>, N.</w:t>
      </w:r>
      <w:r w:rsidRPr="00854175">
        <w:t xml:space="preserve"> – </w:t>
      </w:r>
      <w:r w:rsidRPr="00854175">
        <w:rPr>
          <w:i/>
          <w:iCs/>
        </w:rPr>
        <w:t>Gérer un projet informatique</w:t>
      </w:r>
      <w:r w:rsidRPr="00854175">
        <w:t xml:space="preserve"> (Université de Marne-la-Vallée).</w:t>
      </w:r>
    </w:p>
    <w:p w14:paraId="397ED5C9" w14:textId="77777777" w:rsidR="00854175" w:rsidRPr="00854175" w:rsidRDefault="00854175" w:rsidP="005C0E0A">
      <w:pPr>
        <w:spacing w:line="240" w:lineRule="auto"/>
        <w:rPr>
          <w:b/>
          <w:bCs/>
        </w:rPr>
      </w:pPr>
      <w:r w:rsidRPr="00854175">
        <w:rPr>
          <w:rFonts w:ascii="Segoe UI Emoji" w:hAnsi="Segoe UI Emoji" w:cs="Segoe UI Emoji"/>
          <w:b/>
          <w:bCs/>
        </w:rPr>
        <w:t>🏁</w:t>
      </w:r>
      <w:r w:rsidRPr="00854175">
        <w:rPr>
          <w:b/>
          <w:bCs/>
        </w:rPr>
        <w:t xml:space="preserve"> Conclusion</w:t>
      </w:r>
    </w:p>
    <w:p w14:paraId="51DC6279" w14:textId="77777777" w:rsidR="00776212" w:rsidRDefault="00854175" w:rsidP="005C0E0A">
      <w:pPr>
        <w:spacing w:line="240" w:lineRule="auto"/>
      </w:pPr>
      <w:r w:rsidRPr="00854175">
        <w:t xml:space="preserve">La </w:t>
      </w:r>
      <w:r w:rsidRPr="00854175">
        <w:rPr>
          <w:b/>
          <w:bCs/>
        </w:rPr>
        <w:t>qualité du système d’information</w:t>
      </w:r>
      <w:r w:rsidRPr="00854175">
        <w:t xml:space="preserve"> est un </w:t>
      </w:r>
      <w:r w:rsidRPr="00854175">
        <w:rPr>
          <w:b/>
          <w:bCs/>
        </w:rPr>
        <w:t>processus de management à part entière</w:t>
      </w:r>
      <w:r w:rsidRPr="00854175">
        <w:t>, fondé sur la gouvernance, la conformité et la résilience.</w:t>
      </w:r>
    </w:p>
    <w:p w14:paraId="0EBAAFB9" w14:textId="52228FCF" w:rsidR="00854175" w:rsidRPr="00854175" w:rsidRDefault="00854175" w:rsidP="005C0E0A">
      <w:pPr>
        <w:spacing w:line="240" w:lineRule="auto"/>
      </w:pPr>
      <w:r w:rsidRPr="00854175">
        <w:t>Les normes ISO et cadres ITIL/COBIT apportent des méthodes pour structurer les responsabilités et améliorer les processus</w:t>
      </w:r>
      <w:r w:rsidR="005C0E0A">
        <w:t> ;</w:t>
      </w:r>
      <w:r w:rsidRPr="00854175">
        <w:t xml:space="preserve"> la fiabilité à long terme dépend surtout du pilotage, de l’exécution et de vérifications régulières.</w:t>
      </w:r>
    </w:p>
    <w:p w14:paraId="2AF41809" w14:textId="77777777" w:rsidR="003D6528" w:rsidRPr="003D6528" w:rsidRDefault="00854175" w:rsidP="005C0E0A">
      <w:pPr>
        <w:spacing w:line="240" w:lineRule="auto"/>
      </w:pPr>
      <w:r w:rsidRPr="00854175">
        <w:rPr>
          <w:rFonts w:ascii="Segoe UI Emoji" w:hAnsi="Segoe UI Emoji" w:cs="Segoe UI Emoji"/>
        </w:rPr>
        <w:t>🔑 Un SI de qualité se pilote, se contrôle et s’améliore au service de la stratégie.</w:t>
      </w:r>
    </w:p>
    <w:sectPr w:rsidR="003D6528" w:rsidRPr="003D6528" w:rsidSect="005C0E0A">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7960B" w14:textId="77777777" w:rsidR="00BB2C4E" w:rsidRDefault="00BB2C4E" w:rsidP="00B870C7">
      <w:r>
        <w:separator/>
      </w:r>
    </w:p>
  </w:endnote>
  <w:endnote w:type="continuationSeparator" w:id="0">
    <w:p w14:paraId="02FD45A3" w14:textId="77777777" w:rsidR="00BB2C4E" w:rsidRDefault="00BB2C4E"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FCA3"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66F41" w14:textId="77777777" w:rsidR="00BB2C4E" w:rsidRDefault="00BB2C4E" w:rsidP="00B870C7">
      <w:r>
        <w:separator/>
      </w:r>
    </w:p>
  </w:footnote>
  <w:footnote w:type="continuationSeparator" w:id="0">
    <w:p w14:paraId="1892DEDA" w14:textId="77777777" w:rsidR="00BB2C4E" w:rsidRDefault="00BB2C4E"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93823"/>
    <w:multiLevelType w:val="multilevel"/>
    <w:tmpl w:val="C220F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1F1F30"/>
    <w:multiLevelType w:val="multilevel"/>
    <w:tmpl w:val="5E369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2D3646"/>
    <w:multiLevelType w:val="multilevel"/>
    <w:tmpl w:val="92CC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E3559B"/>
    <w:multiLevelType w:val="multilevel"/>
    <w:tmpl w:val="B244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132E50"/>
    <w:multiLevelType w:val="multilevel"/>
    <w:tmpl w:val="D850E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5815665">
    <w:abstractNumId w:val="0"/>
  </w:num>
  <w:num w:numId="2" w16cid:durableId="2020620403">
    <w:abstractNumId w:val="2"/>
  </w:num>
  <w:num w:numId="3" w16cid:durableId="1677808635">
    <w:abstractNumId w:val="1"/>
  </w:num>
  <w:num w:numId="4" w16cid:durableId="1271813665">
    <w:abstractNumId w:val="4"/>
  </w:num>
  <w:num w:numId="5" w16cid:durableId="80177892">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F1177"/>
    <w:rsid w:val="0013594E"/>
    <w:rsid w:val="00135CDD"/>
    <w:rsid w:val="001666DB"/>
    <w:rsid w:val="001B03F3"/>
    <w:rsid w:val="001C2E5A"/>
    <w:rsid w:val="001F5435"/>
    <w:rsid w:val="001F64D4"/>
    <w:rsid w:val="002439F2"/>
    <w:rsid w:val="002569B2"/>
    <w:rsid w:val="0026538A"/>
    <w:rsid w:val="00287044"/>
    <w:rsid w:val="002A54D6"/>
    <w:rsid w:val="002F2663"/>
    <w:rsid w:val="003028E5"/>
    <w:rsid w:val="00305E8E"/>
    <w:rsid w:val="00326591"/>
    <w:rsid w:val="003437AD"/>
    <w:rsid w:val="00355840"/>
    <w:rsid w:val="00375473"/>
    <w:rsid w:val="003C4213"/>
    <w:rsid w:val="003D4892"/>
    <w:rsid w:val="003D6528"/>
    <w:rsid w:val="003D6FF4"/>
    <w:rsid w:val="003E0E50"/>
    <w:rsid w:val="003E639A"/>
    <w:rsid w:val="003E73E6"/>
    <w:rsid w:val="003F7676"/>
    <w:rsid w:val="004203D1"/>
    <w:rsid w:val="0042534D"/>
    <w:rsid w:val="004A6242"/>
    <w:rsid w:val="004B49D6"/>
    <w:rsid w:val="004D247E"/>
    <w:rsid w:val="004E074F"/>
    <w:rsid w:val="0050112B"/>
    <w:rsid w:val="005221A8"/>
    <w:rsid w:val="00580F46"/>
    <w:rsid w:val="0059110C"/>
    <w:rsid w:val="005962A0"/>
    <w:rsid w:val="005B4561"/>
    <w:rsid w:val="005C0E0A"/>
    <w:rsid w:val="005E0DC3"/>
    <w:rsid w:val="00600E05"/>
    <w:rsid w:val="00613FDE"/>
    <w:rsid w:val="00632C58"/>
    <w:rsid w:val="00632EDC"/>
    <w:rsid w:val="006460AB"/>
    <w:rsid w:val="00665A35"/>
    <w:rsid w:val="006C0415"/>
    <w:rsid w:val="006C6336"/>
    <w:rsid w:val="006D099F"/>
    <w:rsid w:val="00700DA4"/>
    <w:rsid w:val="00713AC4"/>
    <w:rsid w:val="00776212"/>
    <w:rsid w:val="007A1353"/>
    <w:rsid w:val="007D52B4"/>
    <w:rsid w:val="007E1FF6"/>
    <w:rsid w:val="00800F72"/>
    <w:rsid w:val="00821279"/>
    <w:rsid w:val="00831CB5"/>
    <w:rsid w:val="008476EE"/>
    <w:rsid w:val="00854175"/>
    <w:rsid w:val="00867BAB"/>
    <w:rsid w:val="00867FF2"/>
    <w:rsid w:val="008D1926"/>
    <w:rsid w:val="009115B1"/>
    <w:rsid w:val="00911C39"/>
    <w:rsid w:val="00931ED3"/>
    <w:rsid w:val="00991621"/>
    <w:rsid w:val="009A7112"/>
    <w:rsid w:val="009B0B53"/>
    <w:rsid w:val="009B4249"/>
    <w:rsid w:val="009E354A"/>
    <w:rsid w:val="009F317A"/>
    <w:rsid w:val="00A4325D"/>
    <w:rsid w:val="00A52414"/>
    <w:rsid w:val="00A662DC"/>
    <w:rsid w:val="00A94D14"/>
    <w:rsid w:val="00A9715C"/>
    <w:rsid w:val="00AA6814"/>
    <w:rsid w:val="00AB6315"/>
    <w:rsid w:val="00B20E53"/>
    <w:rsid w:val="00B507B1"/>
    <w:rsid w:val="00B649B3"/>
    <w:rsid w:val="00B65E49"/>
    <w:rsid w:val="00B870C7"/>
    <w:rsid w:val="00B9030D"/>
    <w:rsid w:val="00B906BB"/>
    <w:rsid w:val="00B9666C"/>
    <w:rsid w:val="00BA73A4"/>
    <w:rsid w:val="00BB2B03"/>
    <w:rsid w:val="00BB2C4E"/>
    <w:rsid w:val="00BD66AA"/>
    <w:rsid w:val="00C03F1D"/>
    <w:rsid w:val="00C43ED4"/>
    <w:rsid w:val="00C825EC"/>
    <w:rsid w:val="00C87F06"/>
    <w:rsid w:val="00CA4633"/>
    <w:rsid w:val="00CC4DE7"/>
    <w:rsid w:val="00D00629"/>
    <w:rsid w:val="00D503E9"/>
    <w:rsid w:val="00DA6E3D"/>
    <w:rsid w:val="00DB3D92"/>
    <w:rsid w:val="00DC1E60"/>
    <w:rsid w:val="00DD2902"/>
    <w:rsid w:val="00DE760B"/>
    <w:rsid w:val="00E07964"/>
    <w:rsid w:val="00E5775F"/>
    <w:rsid w:val="00E83CC9"/>
    <w:rsid w:val="00E9016D"/>
    <w:rsid w:val="00E975F7"/>
    <w:rsid w:val="00F07238"/>
    <w:rsid w:val="00F26BAE"/>
    <w:rsid w:val="00F4784B"/>
    <w:rsid w:val="00F47F65"/>
    <w:rsid w:val="00F73967"/>
    <w:rsid w:val="00F83D28"/>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F0C16"/>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spacing w:after="0"/>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1524</Words>
  <Characters>8387</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5</cp:revision>
  <cp:lastPrinted>2024-10-21T07:08:00Z</cp:lastPrinted>
  <dcterms:created xsi:type="dcterms:W3CDTF">2025-10-24T10:40:00Z</dcterms:created>
  <dcterms:modified xsi:type="dcterms:W3CDTF">2026-10-19T06:27:00Z</dcterms:modified>
</cp:coreProperties>
</file>