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F516" w14:textId="77777777" w:rsidR="005F2341" w:rsidRDefault="00000000" w:rsidP="0029562F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21 - Coûts prévisionnels, coûts standards et analyse des écarts</w:t>
      </w:r>
    </w:p>
    <w:p w14:paraId="1A3408CA" w14:textId="12173FBE" w:rsidR="005F2341" w:rsidRDefault="00000000" w:rsidP="0029562F">
      <w:pPr>
        <w:spacing w:line="240" w:lineRule="auto"/>
        <w:jc w:val="both"/>
      </w:pPr>
      <w:r>
        <w:rPr>
          <w:b/>
        </w:rPr>
        <w:t>Pour information</w:t>
      </w:r>
      <w:r w:rsidR="0029562F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29562F">
        <w:t> :</w:t>
      </w:r>
      <w:r>
        <w:t xml:space="preserve"> 13/10/2026 par agent de veille Mistral AI</w:t>
      </w:r>
    </w:p>
    <w:p w14:paraId="5941DEE9" w14:textId="77777777" w:rsidR="005F2341" w:rsidRDefault="00000000" w:rsidP="0029562F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4F116CF5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des coûts préétablis</w:t>
      </w:r>
    </w:p>
    <w:p w14:paraId="6A8DC473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1.1 Coûts prévisionnels</w:t>
      </w:r>
    </w:p>
    <w:p w14:paraId="5BB65AA0" w14:textId="77777777" w:rsidR="005F2341" w:rsidRDefault="00000000" w:rsidP="0029562F">
      <w:pPr>
        <w:spacing w:line="240" w:lineRule="auto"/>
        <w:ind w:left="425" w:hanging="227"/>
        <w:jc w:val="both"/>
      </w:pPr>
      <w:r>
        <w:t>- Issus de la planification budgétaire globale.</w:t>
      </w:r>
    </w:p>
    <w:p w14:paraId="7DBF86B6" w14:textId="77777777" w:rsidR="005F2341" w:rsidRDefault="00000000" w:rsidP="0029562F">
      <w:pPr>
        <w:spacing w:line="240" w:lineRule="auto"/>
        <w:ind w:left="425" w:hanging="227"/>
        <w:jc w:val="both"/>
      </w:pPr>
      <w:r>
        <w:t xml:space="preserve">- Estimation des charges et produits </w:t>
      </w:r>
      <w:r>
        <w:rPr>
          <w:b/>
        </w:rPr>
        <w:t>pour une période donnée</w:t>
      </w:r>
      <w:r>
        <w:t>.</w:t>
      </w:r>
    </w:p>
    <w:p w14:paraId="379FE51C" w14:textId="76E73612" w:rsidR="005F2341" w:rsidRDefault="00000000" w:rsidP="0029562F">
      <w:pPr>
        <w:spacing w:line="240" w:lineRule="auto"/>
        <w:ind w:left="425" w:hanging="227"/>
        <w:jc w:val="both"/>
      </w:pPr>
      <w:r>
        <w:t>- Approche macro</w:t>
      </w:r>
      <w:r w:rsidR="0029562F">
        <w:t> :</w:t>
      </w:r>
      <w:r>
        <w:t xml:space="preserve"> construits à partir des hypothèses d’activité, prix de vente, coût des matières, effectifs, etc.</w:t>
      </w:r>
    </w:p>
    <w:p w14:paraId="0C2539B8" w14:textId="1BA506E0" w:rsidR="005F2341" w:rsidRDefault="00000000" w:rsidP="0029562F">
      <w:pPr>
        <w:spacing w:line="240" w:lineRule="auto"/>
        <w:ind w:left="425" w:hanging="227"/>
        <w:jc w:val="both"/>
      </w:pPr>
      <w:r>
        <w:t>- Utilité</w:t>
      </w:r>
      <w:r w:rsidR="0029562F">
        <w:t> :</w:t>
      </w:r>
      <w:r>
        <w:t xml:space="preserve"> établir les </w:t>
      </w:r>
      <w:r>
        <w:rPr>
          <w:b/>
        </w:rPr>
        <w:t>budgets</w:t>
      </w:r>
      <w:r>
        <w:t xml:space="preserve">, fixer des </w:t>
      </w:r>
      <w:r>
        <w:rPr>
          <w:b/>
        </w:rPr>
        <w:t>objectifs financiers</w:t>
      </w:r>
      <w:r>
        <w:t xml:space="preserve"> et préparer les prix de vente.</w:t>
      </w:r>
    </w:p>
    <w:p w14:paraId="0B23F375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1.2 Coûts standards</w:t>
      </w:r>
    </w:p>
    <w:p w14:paraId="7D3F7809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Coûts de référence techniques et normatifs</w:t>
      </w:r>
      <w:r>
        <w:t xml:space="preserve"> (quantité standard × prix standard).</w:t>
      </w:r>
    </w:p>
    <w:p w14:paraId="06ECFBBE" w14:textId="77777777" w:rsidR="005F2341" w:rsidRDefault="00000000" w:rsidP="0029562F">
      <w:pPr>
        <w:spacing w:line="240" w:lineRule="auto"/>
        <w:ind w:left="425" w:hanging="227"/>
        <w:jc w:val="both"/>
      </w:pPr>
      <w:r>
        <w:t xml:space="preserve">- Définis </w:t>
      </w:r>
      <w:r>
        <w:rPr>
          <w:b/>
        </w:rPr>
        <w:t>a priori</w:t>
      </w:r>
      <w:r>
        <w:t>, pour une consommation normale des ressources (matières, temps de travail, taux d’utilisation des équipements).</w:t>
      </w:r>
    </w:p>
    <w:p w14:paraId="4C824EE9" w14:textId="77777777" w:rsidR="005F2341" w:rsidRDefault="00000000" w:rsidP="0029562F">
      <w:pPr>
        <w:spacing w:line="240" w:lineRule="auto"/>
        <w:ind w:left="425" w:hanging="227"/>
        <w:jc w:val="both"/>
      </w:pPr>
      <w:r>
        <w:t>- Base de comparaison directe avec les coûts réels.</w:t>
      </w:r>
    </w:p>
    <w:p w14:paraId="3E1A24E6" w14:textId="5F0AF03C" w:rsidR="005F2341" w:rsidRDefault="00000000" w:rsidP="0029562F">
      <w:pPr>
        <w:spacing w:line="240" w:lineRule="auto"/>
        <w:ind w:left="425" w:hanging="227"/>
        <w:jc w:val="both"/>
      </w:pPr>
      <w:r>
        <w:t>- Utilité</w:t>
      </w:r>
      <w:r w:rsidR="0029562F">
        <w:t> :</w:t>
      </w:r>
      <w:r>
        <w:t xml:space="preserve"> contrôler l’</w:t>
      </w:r>
      <w:r>
        <w:rPr>
          <w:b/>
        </w:rPr>
        <w:t>efficience opérationnelle</w:t>
      </w:r>
      <w:r>
        <w:t xml:space="preserve"> via l’</w:t>
      </w:r>
      <w:r>
        <w:rPr>
          <w:b/>
        </w:rPr>
        <w:t>analyse des écarts</w:t>
      </w:r>
      <w:r>
        <w:t>.</w:t>
      </w:r>
    </w:p>
    <w:p w14:paraId="0C0666BF" w14:textId="73DB9D57" w:rsidR="005F2341" w:rsidRDefault="00000000" w:rsidP="0029562F">
      <w:pPr>
        <w:spacing w:line="240" w:lineRule="auto"/>
        <w:jc w:val="both"/>
      </w:pPr>
      <w:r>
        <w:t>👉 Distinction clé</w:t>
      </w:r>
      <w:r w:rsidR="0029562F">
        <w:t> :</w:t>
      </w:r>
    </w:p>
    <w:p w14:paraId="6CA06308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Prévisionnel</w:t>
      </w:r>
      <w:r>
        <w:t xml:space="preserve"> = estimation budgétaire globale.</w:t>
      </w:r>
    </w:p>
    <w:p w14:paraId="60042C34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Standard</w:t>
      </w:r>
      <w:r>
        <w:t xml:space="preserve"> = norme technique de coût unitaire servant au contrôle.</w:t>
      </w:r>
    </w:p>
    <w:p w14:paraId="1B20C24D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Logique générale de l’analyse des écarts</w:t>
      </w:r>
    </w:p>
    <w:p w14:paraId="52CABDAB" w14:textId="0BD31D9B" w:rsidR="005F2341" w:rsidRDefault="00000000" w:rsidP="0029562F">
      <w:pPr>
        <w:spacing w:line="240" w:lineRule="auto"/>
        <w:jc w:val="both"/>
      </w:pPr>
      <w:r>
        <w:t>L’écart est défini comme la différence entre</w:t>
      </w:r>
      <w:r w:rsidR="0029562F">
        <w:t> :</w:t>
      </w:r>
    </w:p>
    <w:p w14:paraId="46DB1DB7" w14:textId="1517E89E" w:rsidR="005F2341" w:rsidRDefault="00000000" w:rsidP="0029562F">
      <w:pPr>
        <w:spacing w:line="240" w:lineRule="auto"/>
        <w:jc w:val="both"/>
      </w:pPr>
      <w:r>
        <w:t>Deux grands types</w:t>
      </w:r>
      <w:r w:rsidR="0029562F">
        <w:t> :</w:t>
      </w:r>
    </w:p>
    <w:p w14:paraId="5F0FD217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Écart sur volume</w:t>
      </w:r>
      <w:r>
        <w:t xml:space="preserve"> (différence liée au niveau de production).</w:t>
      </w:r>
    </w:p>
    <w:p w14:paraId="7CFBA9AC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Écart global</w:t>
      </w:r>
      <w:r>
        <w:t xml:space="preserve">, qui se décompose en </w:t>
      </w:r>
      <w:r>
        <w:rPr>
          <w:b/>
        </w:rPr>
        <w:t>écarts élémentaires</w:t>
      </w:r>
      <w:r>
        <w:t xml:space="preserve"> selon la nature des charges (prix, quantité, rendement, activité, budget).</w:t>
      </w:r>
    </w:p>
    <w:p w14:paraId="5DA92C36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Analyse des écarts sur charges directes</w:t>
      </w:r>
    </w:p>
    <w:p w14:paraId="3E11EFDB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3.1 Matières premières</w:t>
      </w:r>
    </w:p>
    <w:p w14:paraId="512B6F09" w14:textId="2B594F0F" w:rsidR="005F2341" w:rsidRDefault="00000000" w:rsidP="0029562F">
      <w:pPr>
        <w:spacing w:line="240" w:lineRule="auto"/>
        <w:jc w:val="both"/>
      </w:pPr>
      <w:r>
        <w:t>Formules</w:t>
      </w:r>
      <w:r w:rsidR="0029562F">
        <w:t> :</w:t>
      </w:r>
    </w:p>
    <w:p w14:paraId="0A4F9B3E" w14:textId="77777777" w:rsidR="005F2341" w:rsidRDefault="00000000" w:rsidP="0029562F">
      <w:pPr>
        <w:spacing w:line="240" w:lineRule="auto"/>
        <w:ind w:left="425" w:hanging="227"/>
        <w:jc w:val="both"/>
      </w:pPr>
      <w:r>
        <w:t xml:space="preserve">- Écart global (EG) = (Cuc × QR) - (Cup × </w:t>
      </w:r>
      <w:proofErr w:type="spellStart"/>
      <w:r>
        <w:t>Qp</w:t>
      </w:r>
      <w:proofErr w:type="spellEnd"/>
      <w:r>
        <w:t>)</w:t>
      </w:r>
    </w:p>
    <w:p w14:paraId="2B034D60" w14:textId="77777777" w:rsidR="005F2341" w:rsidRDefault="00000000" w:rsidP="0029562F">
      <w:pPr>
        <w:spacing w:line="240" w:lineRule="auto"/>
        <w:ind w:left="425" w:hanging="227"/>
        <w:jc w:val="both"/>
      </w:pPr>
      <w:r>
        <w:t>- Écart sur coût (EC) = (Cuc - Cup) × QR</w:t>
      </w:r>
    </w:p>
    <w:p w14:paraId="38BC2A07" w14:textId="77777777" w:rsidR="005F2341" w:rsidRDefault="00000000" w:rsidP="0029562F">
      <w:pPr>
        <w:spacing w:line="240" w:lineRule="auto"/>
        <w:ind w:left="425" w:hanging="227"/>
        <w:jc w:val="both"/>
      </w:pPr>
      <w:r>
        <w:t xml:space="preserve">- Écart sur quantité (EQ) = (QR - </w:t>
      </w:r>
      <w:proofErr w:type="spellStart"/>
      <w:r>
        <w:t>Qp</w:t>
      </w:r>
      <w:proofErr w:type="spellEnd"/>
      <w:r>
        <w:t>) × Cup</w:t>
      </w:r>
    </w:p>
    <w:p w14:paraId="25A51354" w14:textId="12D0D1B1" w:rsidR="005F2341" w:rsidRDefault="00000000" w:rsidP="0029562F">
      <w:pPr>
        <w:spacing w:line="240" w:lineRule="auto"/>
        <w:jc w:val="both"/>
      </w:pPr>
      <w:r>
        <w:t>Exemple</w:t>
      </w:r>
      <w:r w:rsidR="0029562F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84"/>
        <w:gridCol w:w="999"/>
        <w:gridCol w:w="1304"/>
        <w:gridCol w:w="951"/>
      </w:tblGrid>
      <w:tr w:rsidR="005F2341" w:rsidRPr="0029562F" w14:paraId="5D46DF05" w14:textId="77777777" w:rsidTr="0029562F">
        <w:trPr>
          <w:tblHeader/>
        </w:trPr>
        <w:tc>
          <w:tcPr>
            <w:tcW w:w="0" w:type="auto"/>
          </w:tcPr>
          <w:p w14:paraId="48E34D9D" w14:textId="77777777" w:rsidR="005F2341" w:rsidRPr="0029562F" w:rsidRDefault="005F2341" w:rsidP="0029562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5325608B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Quantité</w:t>
            </w:r>
          </w:p>
        </w:tc>
        <w:tc>
          <w:tcPr>
            <w:tcW w:w="0" w:type="auto"/>
          </w:tcPr>
          <w:p w14:paraId="5BF58C89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Coût unitaire</w:t>
            </w:r>
          </w:p>
        </w:tc>
        <w:tc>
          <w:tcPr>
            <w:tcW w:w="0" w:type="auto"/>
          </w:tcPr>
          <w:p w14:paraId="761D4E04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Montant</w:t>
            </w:r>
          </w:p>
        </w:tc>
      </w:tr>
      <w:tr w:rsidR="005F2341" w:rsidRPr="0029562F" w14:paraId="1D9C7DF9" w14:textId="77777777" w:rsidTr="0029562F">
        <w:tc>
          <w:tcPr>
            <w:tcW w:w="0" w:type="auto"/>
          </w:tcPr>
          <w:p w14:paraId="02E6AE7E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Réel</w:t>
            </w:r>
          </w:p>
        </w:tc>
        <w:tc>
          <w:tcPr>
            <w:tcW w:w="0" w:type="auto"/>
          </w:tcPr>
          <w:p w14:paraId="66C0CBEC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69 600 kg</w:t>
            </w:r>
          </w:p>
        </w:tc>
        <w:tc>
          <w:tcPr>
            <w:tcW w:w="0" w:type="auto"/>
          </w:tcPr>
          <w:p w14:paraId="0D5C06C3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1,40</w:t>
            </w:r>
          </w:p>
        </w:tc>
        <w:tc>
          <w:tcPr>
            <w:tcW w:w="0" w:type="auto"/>
          </w:tcPr>
          <w:p w14:paraId="1E7C3225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97 440</w:t>
            </w:r>
          </w:p>
        </w:tc>
      </w:tr>
      <w:tr w:rsidR="005F2341" w:rsidRPr="0029562F" w14:paraId="1731FB26" w14:textId="77777777" w:rsidTr="0029562F">
        <w:tc>
          <w:tcPr>
            <w:tcW w:w="0" w:type="auto"/>
          </w:tcPr>
          <w:p w14:paraId="17998CB5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Prévu</w:t>
            </w:r>
          </w:p>
        </w:tc>
        <w:tc>
          <w:tcPr>
            <w:tcW w:w="0" w:type="auto"/>
          </w:tcPr>
          <w:p w14:paraId="78B7A7A9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72 500 kg</w:t>
            </w:r>
          </w:p>
        </w:tc>
        <w:tc>
          <w:tcPr>
            <w:tcW w:w="0" w:type="auto"/>
          </w:tcPr>
          <w:p w14:paraId="38A7E92B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1,20</w:t>
            </w:r>
          </w:p>
        </w:tc>
        <w:tc>
          <w:tcPr>
            <w:tcW w:w="0" w:type="auto"/>
          </w:tcPr>
          <w:p w14:paraId="1CA8EA52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87 000</w:t>
            </w:r>
          </w:p>
        </w:tc>
      </w:tr>
    </w:tbl>
    <w:p w14:paraId="737C8C7C" w14:textId="2CE1B248" w:rsidR="005F2341" w:rsidRDefault="00000000" w:rsidP="0029562F">
      <w:pPr>
        <w:spacing w:line="240" w:lineRule="auto"/>
        <w:jc w:val="both"/>
      </w:pPr>
      <w:r>
        <w:t>Résultats</w:t>
      </w:r>
      <w:r w:rsidR="0029562F">
        <w:t> :</w:t>
      </w:r>
    </w:p>
    <w:p w14:paraId="0C266D48" w14:textId="77777777" w:rsidR="005F2341" w:rsidRDefault="00000000" w:rsidP="0029562F">
      <w:pPr>
        <w:spacing w:line="240" w:lineRule="auto"/>
        <w:ind w:left="425" w:hanging="227"/>
        <w:jc w:val="both"/>
      </w:pPr>
      <w:r>
        <w:t>- EG = +10 440 (défavorable)</w:t>
      </w:r>
    </w:p>
    <w:p w14:paraId="393B1CED" w14:textId="77777777" w:rsidR="005F2341" w:rsidRDefault="00000000" w:rsidP="0029562F">
      <w:pPr>
        <w:spacing w:line="240" w:lineRule="auto"/>
        <w:ind w:left="425" w:hanging="227"/>
        <w:jc w:val="both"/>
      </w:pPr>
      <w:r>
        <w:t>- EC = +13 920 (prix trop élevé)</w:t>
      </w:r>
    </w:p>
    <w:p w14:paraId="2BD18BA9" w14:textId="77777777" w:rsidR="005F2341" w:rsidRDefault="00000000" w:rsidP="0029562F">
      <w:pPr>
        <w:spacing w:line="240" w:lineRule="auto"/>
        <w:ind w:left="425" w:hanging="227"/>
        <w:jc w:val="both"/>
      </w:pPr>
      <w:r>
        <w:t>- EQ = -3 480 (meilleure consommation)</w:t>
      </w:r>
    </w:p>
    <w:p w14:paraId="20E7AAE3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3.2 Main-d’œuvre directe (MOD)</w:t>
      </w:r>
    </w:p>
    <w:p w14:paraId="72938DCB" w14:textId="1EB7170A" w:rsidR="005F2341" w:rsidRDefault="00000000" w:rsidP="0029562F">
      <w:pPr>
        <w:spacing w:line="240" w:lineRule="auto"/>
        <w:jc w:val="both"/>
      </w:pPr>
      <w:r>
        <w:t>Formules</w:t>
      </w:r>
      <w:r w:rsidR="0029562F">
        <w:t> :</w:t>
      </w:r>
    </w:p>
    <w:p w14:paraId="21B3A1F4" w14:textId="77777777" w:rsidR="005F2341" w:rsidRPr="0029562F" w:rsidRDefault="00000000" w:rsidP="0029562F">
      <w:pPr>
        <w:spacing w:line="240" w:lineRule="auto"/>
        <w:ind w:left="425" w:hanging="227"/>
        <w:jc w:val="both"/>
        <w:rPr>
          <w:lang w:val="en-GB"/>
        </w:rPr>
      </w:pPr>
      <w:r w:rsidRPr="0029562F">
        <w:rPr>
          <w:lang w:val="en-GB"/>
        </w:rPr>
        <w:t>- EG = (Cuc × HR) - (Cup × Hp)</w:t>
      </w:r>
    </w:p>
    <w:p w14:paraId="0358D534" w14:textId="77777777" w:rsidR="005F2341" w:rsidRPr="0029562F" w:rsidRDefault="00000000" w:rsidP="0029562F">
      <w:pPr>
        <w:spacing w:line="240" w:lineRule="auto"/>
        <w:ind w:left="425" w:hanging="227"/>
        <w:jc w:val="both"/>
        <w:rPr>
          <w:lang w:val="en-GB"/>
        </w:rPr>
      </w:pPr>
      <w:r w:rsidRPr="0029562F">
        <w:rPr>
          <w:lang w:val="en-GB"/>
        </w:rPr>
        <w:t>- EC = (Cuc - Cup) × HR</w:t>
      </w:r>
    </w:p>
    <w:p w14:paraId="01F7CAEA" w14:textId="77777777" w:rsidR="005F2341" w:rsidRPr="0029562F" w:rsidRDefault="00000000" w:rsidP="0029562F">
      <w:pPr>
        <w:spacing w:line="240" w:lineRule="auto"/>
        <w:ind w:left="425" w:hanging="227"/>
        <w:jc w:val="both"/>
        <w:rPr>
          <w:lang w:val="en-GB"/>
        </w:rPr>
      </w:pPr>
      <w:r w:rsidRPr="0029562F">
        <w:rPr>
          <w:lang w:val="en-GB"/>
        </w:rPr>
        <w:t>- EQ = (HR - Hp) × Cup</w:t>
      </w:r>
    </w:p>
    <w:p w14:paraId="1A302E21" w14:textId="7DBB5783" w:rsidR="005F2341" w:rsidRDefault="00000000" w:rsidP="0029562F">
      <w:pPr>
        <w:spacing w:line="240" w:lineRule="auto"/>
        <w:jc w:val="both"/>
      </w:pPr>
      <w:r>
        <w:t>Exemple</w:t>
      </w:r>
      <w:r w:rsidR="0029562F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84"/>
        <w:gridCol w:w="802"/>
        <w:gridCol w:w="1257"/>
        <w:gridCol w:w="951"/>
      </w:tblGrid>
      <w:tr w:rsidR="005F2341" w:rsidRPr="0029562F" w14:paraId="69BD7C81" w14:textId="77777777" w:rsidTr="0029562F">
        <w:trPr>
          <w:tblHeader/>
        </w:trPr>
        <w:tc>
          <w:tcPr>
            <w:tcW w:w="0" w:type="auto"/>
          </w:tcPr>
          <w:p w14:paraId="45666788" w14:textId="77777777" w:rsidR="005F2341" w:rsidRPr="0029562F" w:rsidRDefault="005F2341" w:rsidP="0029562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049E9816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Heures</w:t>
            </w:r>
          </w:p>
        </w:tc>
        <w:tc>
          <w:tcPr>
            <w:tcW w:w="0" w:type="auto"/>
          </w:tcPr>
          <w:p w14:paraId="533D4900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Coût horaire</w:t>
            </w:r>
          </w:p>
        </w:tc>
        <w:tc>
          <w:tcPr>
            <w:tcW w:w="0" w:type="auto"/>
          </w:tcPr>
          <w:p w14:paraId="71266A00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Montant</w:t>
            </w:r>
          </w:p>
        </w:tc>
      </w:tr>
      <w:tr w:rsidR="005F2341" w:rsidRPr="0029562F" w14:paraId="2908A9A0" w14:textId="77777777" w:rsidTr="0029562F">
        <w:tc>
          <w:tcPr>
            <w:tcW w:w="0" w:type="auto"/>
          </w:tcPr>
          <w:p w14:paraId="255E6078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Réel</w:t>
            </w:r>
          </w:p>
        </w:tc>
        <w:tc>
          <w:tcPr>
            <w:tcW w:w="0" w:type="auto"/>
          </w:tcPr>
          <w:p w14:paraId="30A79BE2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26 100</w:t>
            </w:r>
          </w:p>
        </w:tc>
        <w:tc>
          <w:tcPr>
            <w:tcW w:w="0" w:type="auto"/>
          </w:tcPr>
          <w:p w14:paraId="29140119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14</w:t>
            </w:r>
          </w:p>
        </w:tc>
        <w:tc>
          <w:tcPr>
            <w:tcW w:w="0" w:type="auto"/>
          </w:tcPr>
          <w:p w14:paraId="7F7AE74E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365 400</w:t>
            </w:r>
          </w:p>
        </w:tc>
      </w:tr>
      <w:tr w:rsidR="005F2341" w:rsidRPr="0029562F" w14:paraId="2013458B" w14:textId="77777777" w:rsidTr="0029562F">
        <w:tc>
          <w:tcPr>
            <w:tcW w:w="0" w:type="auto"/>
          </w:tcPr>
          <w:p w14:paraId="4C603691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Prévu</w:t>
            </w:r>
          </w:p>
        </w:tc>
        <w:tc>
          <w:tcPr>
            <w:tcW w:w="0" w:type="auto"/>
          </w:tcPr>
          <w:p w14:paraId="221A318B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29 000</w:t>
            </w:r>
          </w:p>
        </w:tc>
        <w:tc>
          <w:tcPr>
            <w:tcW w:w="0" w:type="auto"/>
          </w:tcPr>
          <w:p w14:paraId="61EB654E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15</w:t>
            </w:r>
          </w:p>
        </w:tc>
        <w:tc>
          <w:tcPr>
            <w:tcW w:w="0" w:type="auto"/>
          </w:tcPr>
          <w:p w14:paraId="1E9A49F0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435 000</w:t>
            </w:r>
          </w:p>
        </w:tc>
      </w:tr>
    </w:tbl>
    <w:p w14:paraId="1E5FB8AB" w14:textId="3E8E85DF" w:rsidR="005F2341" w:rsidRDefault="00000000" w:rsidP="0029562F">
      <w:pPr>
        <w:spacing w:line="240" w:lineRule="auto"/>
        <w:jc w:val="both"/>
      </w:pPr>
      <w:r>
        <w:t>Résultats</w:t>
      </w:r>
      <w:r w:rsidR="0029562F">
        <w:t> :</w:t>
      </w:r>
    </w:p>
    <w:p w14:paraId="593C436C" w14:textId="77777777" w:rsidR="005F2341" w:rsidRDefault="00000000" w:rsidP="0029562F">
      <w:pPr>
        <w:spacing w:line="240" w:lineRule="auto"/>
        <w:ind w:left="425" w:hanging="227"/>
        <w:jc w:val="both"/>
      </w:pPr>
      <w:r>
        <w:t>- EG = -69 600 (favorable)</w:t>
      </w:r>
    </w:p>
    <w:p w14:paraId="77F37520" w14:textId="77777777" w:rsidR="005F2341" w:rsidRDefault="00000000" w:rsidP="0029562F">
      <w:pPr>
        <w:spacing w:line="240" w:lineRule="auto"/>
        <w:ind w:left="425" w:hanging="227"/>
        <w:jc w:val="both"/>
      </w:pPr>
      <w:r>
        <w:t>- EC = -26 100 (salaire moyen ↓)</w:t>
      </w:r>
    </w:p>
    <w:p w14:paraId="51E1463C" w14:textId="77777777" w:rsidR="005F2341" w:rsidRDefault="00000000" w:rsidP="0029562F">
      <w:pPr>
        <w:spacing w:line="240" w:lineRule="auto"/>
        <w:ind w:left="425" w:hanging="227"/>
        <w:jc w:val="both"/>
      </w:pPr>
      <w:r>
        <w:t>- EQ = -43 500 (productivité ↑)</w:t>
      </w:r>
    </w:p>
    <w:p w14:paraId="4A503E25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Analyse des écarts sur charges indirectes</w:t>
      </w:r>
    </w:p>
    <w:p w14:paraId="036CDCD3" w14:textId="77777777" w:rsidR="005F2341" w:rsidRDefault="00000000" w:rsidP="0029562F">
      <w:pPr>
        <w:spacing w:line="240" w:lineRule="auto"/>
        <w:jc w:val="both"/>
      </w:pPr>
      <w:r>
        <w:lastRenderedPageBreak/>
        <w:t>Les charges indirectes nécessitent un traitement spécifique car elles dépendent de l’</w:t>
      </w:r>
      <w:r>
        <w:rPr>
          <w:b/>
        </w:rPr>
        <w:t>activité réelle</w:t>
      </w:r>
      <w:r>
        <w:t>.</w:t>
      </w:r>
    </w:p>
    <w:p w14:paraId="026033CB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4.1 Notion de budget flexible</w:t>
      </w:r>
    </w:p>
    <w:p w14:paraId="3FAF9B82" w14:textId="6B1A3321" w:rsidR="005F2341" w:rsidRDefault="00000000" w:rsidP="0029562F">
      <w:pPr>
        <w:spacing w:line="240" w:lineRule="auto"/>
        <w:jc w:val="both"/>
      </w:pPr>
      <w:r>
        <w:t>Le budget flexible adapte les charges aux niveaux d’activité réels</w:t>
      </w:r>
      <w:r w:rsidR="0029562F">
        <w:t> :</w:t>
      </w:r>
    </w:p>
    <w:p w14:paraId="4EED9CE0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4.2 Décomposition des écarts</w:t>
      </w:r>
    </w:p>
    <w:p w14:paraId="0CA81545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4.3 Exemple chiffré - Centre usinage</w:t>
      </w:r>
    </w:p>
    <w:p w14:paraId="2744AE04" w14:textId="27FF66D1" w:rsidR="005F2341" w:rsidRDefault="00000000" w:rsidP="0029562F">
      <w:pPr>
        <w:spacing w:line="240" w:lineRule="auto"/>
        <w:ind w:left="425" w:hanging="227"/>
        <w:jc w:val="both"/>
      </w:pPr>
      <w:r>
        <w:t>- Charges variables prévues</w:t>
      </w:r>
      <w:r w:rsidR="0029562F">
        <w:t> :</w:t>
      </w:r>
      <w:r>
        <w:t xml:space="preserve"> 20</w:t>
      </w:r>
      <w:r w:rsidR="0029562F">
        <w:t> €</w:t>
      </w:r>
      <w:r>
        <w:t>/h</w:t>
      </w:r>
    </w:p>
    <w:p w14:paraId="10D4A0E7" w14:textId="162DFFBE" w:rsidR="005F2341" w:rsidRDefault="00000000" w:rsidP="0029562F">
      <w:pPr>
        <w:spacing w:line="240" w:lineRule="auto"/>
        <w:ind w:left="425" w:hanging="227"/>
        <w:jc w:val="both"/>
      </w:pPr>
      <w:r>
        <w:t>- Charges fixes prévues</w:t>
      </w:r>
      <w:r w:rsidR="0029562F">
        <w:t> :</w:t>
      </w:r>
      <w:r>
        <w:t xml:space="preserve"> 315 000</w:t>
      </w:r>
      <w:r w:rsidR="0029562F">
        <w:t> €</w:t>
      </w:r>
    </w:p>
    <w:p w14:paraId="482D8267" w14:textId="77777777" w:rsidR="005F2341" w:rsidRDefault="00000000" w:rsidP="0029562F">
      <w:pPr>
        <w:spacing w:line="240" w:lineRule="auto"/>
        <w:ind w:left="425" w:hanging="227"/>
        <w:jc w:val="both"/>
      </w:pPr>
      <w:r>
        <w:t>- Activité normale = 7 000 h</w:t>
      </w:r>
    </w:p>
    <w:p w14:paraId="14F08402" w14:textId="77777777" w:rsidR="005F2341" w:rsidRDefault="00000000" w:rsidP="0029562F">
      <w:pPr>
        <w:spacing w:line="240" w:lineRule="auto"/>
        <w:ind w:left="425" w:hanging="227"/>
        <w:jc w:val="both"/>
      </w:pPr>
      <w:r>
        <w:t>- Activité réelle = 8 700 h</w:t>
      </w:r>
    </w:p>
    <w:p w14:paraId="6A050B5A" w14:textId="27EBFF5C" w:rsidR="005F2341" w:rsidRDefault="00000000" w:rsidP="0029562F">
      <w:pPr>
        <w:spacing w:line="240" w:lineRule="auto"/>
        <w:ind w:left="425" w:hanging="227"/>
        <w:jc w:val="both"/>
      </w:pPr>
      <w:r>
        <w:t>- Production prévue = 14 500 u</w:t>
      </w:r>
      <w:r w:rsidR="0029562F">
        <w:t> ;</w:t>
      </w:r>
      <w:r>
        <w:t xml:space="preserve"> production réelle = 12 500 u</w:t>
      </w:r>
    </w:p>
    <w:p w14:paraId="5E917899" w14:textId="38B4D3E0" w:rsidR="005F2341" w:rsidRDefault="00000000" w:rsidP="0029562F">
      <w:pPr>
        <w:spacing w:line="240" w:lineRule="auto"/>
        <w:ind w:left="425" w:hanging="227"/>
        <w:jc w:val="both"/>
      </w:pPr>
      <w:r>
        <w:t>- Coût réel constaté = 609 000</w:t>
      </w:r>
      <w:r w:rsidR="0029562F">
        <w:t> €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8"/>
        <w:gridCol w:w="1542"/>
        <w:gridCol w:w="1266"/>
        <w:gridCol w:w="6386"/>
      </w:tblGrid>
      <w:tr w:rsidR="005F2341" w:rsidRPr="0029562F" w14:paraId="6BC9110C" w14:textId="77777777" w:rsidTr="0029562F">
        <w:trPr>
          <w:tblHeader/>
        </w:trPr>
        <w:tc>
          <w:tcPr>
            <w:tcW w:w="0" w:type="auto"/>
          </w:tcPr>
          <w:p w14:paraId="0DCC7DEC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Type d’écart</w:t>
            </w:r>
          </w:p>
        </w:tc>
        <w:tc>
          <w:tcPr>
            <w:tcW w:w="0" w:type="auto"/>
          </w:tcPr>
          <w:p w14:paraId="79076F44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Calcul</w:t>
            </w:r>
          </w:p>
        </w:tc>
        <w:tc>
          <w:tcPr>
            <w:tcW w:w="0" w:type="auto"/>
          </w:tcPr>
          <w:p w14:paraId="2D448E2C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Résultat</w:t>
            </w:r>
          </w:p>
        </w:tc>
        <w:tc>
          <w:tcPr>
            <w:tcW w:w="0" w:type="auto"/>
          </w:tcPr>
          <w:p w14:paraId="3A0EFB3C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Interprétation</w:t>
            </w:r>
          </w:p>
        </w:tc>
      </w:tr>
      <w:tr w:rsidR="005F2341" w:rsidRPr="0029562F" w14:paraId="7FF3721A" w14:textId="77777777" w:rsidTr="0029562F">
        <w:tc>
          <w:tcPr>
            <w:tcW w:w="0" w:type="auto"/>
          </w:tcPr>
          <w:p w14:paraId="1B9FFAEA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EC</w:t>
            </w:r>
            <w:r w:rsidRPr="0029562F">
              <w:rPr>
                <w:sz w:val="20"/>
              </w:rPr>
              <w:t xml:space="preserve"> (budget)</w:t>
            </w:r>
          </w:p>
        </w:tc>
        <w:tc>
          <w:tcPr>
            <w:tcW w:w="0" w:type="auto"/>
          </w:tcPr>
          <w:p w14:paraId="636998BB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609000 - 489000</w:t>
            </w:r>
          </w:p>
        </w:tc>
        <w:tc>
          <w:tcPr>
            <w:tcW w:w="0" w:type="auto"/>
          </w:tcPr>
          <w:p w14:paraId="651520D6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+120000 déf.</w:t>
            </w:r>
          </w:p>
        </w:tc>
        <w:tc>
          <w:tcPr>
            <w:tcW w:w="0" w:type="auto"/>
          </w:tcPr>
          <w:p w14:paraId="7699A8F3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Surcoûts constatés par rapport au budget flexible</w:t>
            </w:r>
          </w:p>
        </w:tc>
      </w:tr>
      <w:tr w:rsidR="005F2341" w:rsidRPr="0029562F" w14:paraId="4AF7F55C" w14:textId="77777777" w:rsidTr="0029562F">
        <w:tc>
          <w:tcPr>
            <w:tcW w:w="0" w:type="auto"/>
          </w:tcPr>
          <w:p w14:paraId="396D4B27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EA</w:t>
            </w:r>
            <w:r w:rsidRPr="0029562F">
              <w:rPr>
                <w:sz w:val="20"/>
              </w:rPr>
              <w:t xml:space="preserve"> (activité)</w:t>
            </w:r>
          </w:p>
        </w:tc>
        <w:tc>
          <w:tcPr>
            <w:tcW w:w="0" w:type="auto"/>
          </w:tcPr>
          <w:p w14:paraId="30E8ECD0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489000 - 565500</w:t>
            </w:r>
          </w:p>
        </w:tc>
        <w:tc>
          <w:tcPr>
            <w:tcW w:w="0" w:type="auto"/>
          </w:tcPr>
          <w:p w14:paraId="72D1B2A3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-76500 fav.</w:t>
            </w:r>
          </w:p>
        </w:tc>
        <w:tc>
          <w:tcPr>
            <w:tcW w:w="0" w:type="auto"/>
          </w:tcPr>
          <w:p w14:paraId="71BF1790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Suractivité → meilleure absorption des CF</w:t>
            </w:r>
          </w:p>
        </w:tc>
      </w:tr>
      <w:tr w:rsidR="005F2341" w:rsidRPr="0029562F" w14:paraId="3E4ADC48" w14:textId="77777777" w:rsidTr="0029562F">
        <w:tc>
          <w:tcPr>
            <w:tcW w:w="0" w:type="auto"/>
          </w:tcPr>
          <w:p w14:paraId="258CA29D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ER</w:t>
            </w:r>
            <w:r w:rsidRPr="0029562F">
              <w:rPr>
                <w:sz w:val="20"/>
              </w:rPr>
              <w:t xml:space="preserve"> (rendement)</w:t>
            </w:r>
          </w:p>
        </w:tc>
        <w:tc>
          <w:tcPr>
            <w:tcW w:w="0" w:type="auto"/>
          </w:tcPr>
          <w:p w14:paraId="1F4732DC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565500 - 471250</w:t>
            </w:r>
          </w:p>
        </w:tc>
        <w:tc>
          <w:tcPr>
            <w:tcW w:w="0" w:type="auto"/>
          </w:tcPr>
          <w:p w14:paraId="0976E2E3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+94250 déf.</w:t>
            </w:r>
          </w:p>
        </w:tc>
        <w:tc>
          <w:tcPr>
            <w:tcW w:w="0" w:type="auto"/>
          </w:tcPr>
          <w:p w14:paraId="30EAE473" w14:textId="2CF3C90E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Mauvais rendement</w:t>
            </w:r>
            <w:r w:rsidR="0029562F" w:rsidRPr="0029562F">
              <w:rPr>
                <w:sz w:val="20"/>
              </w:rPr>
              <w:t> :</w:t>
            </w:r>
            <w:r w:rsidRPr="0029562F">
              <w:rPr>
                <w:sz w:val="20"/>
              </w:rPr>
              <w:t xml:space="preserve"> plus d’heures consommées que prévu pour la prod. réelle</w:t>
            </w:r>
          </w:p>
        </w:tc>
      </w:tr>
    </w:tbl>
    <w:p w14:paraId="58F17B17" w14:textId="77777777" w:rsidR="005F2341" w:rsidRDefault="00000000" w:rsidP="0029562F">
      <w:pPr>
        <w:spacing w:line="240" w:lineRule="auto"/>
        <w:jc w:val="both"/>
      </w:pPr>
      <w:r>
        <w:t xml:space="preserve">👉 </w:t>
      </w:r>
      <w:r>
        <w:rPr>
          <w:b/>
        </w:rPr>
        <w:t>Écart global = +137 750 défavorable</w:t>
      </w:r>
      <w:r>
        <w:t>, combinaison d’un surcoût, d’une productivité dégradée, partiellement compensés par une suractivité.</w:t>
      </w:r>
    </w:p>
    <w:p w14:paraId="430BFF64" w14:textId="77777777" w:rsidR="005F2341" w:rsidRDefault="00000000" w:rsidP="002956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4.4 Schéma logique</w:t>
      </w:r>
    </w:p>
    <w:p w14:paraId="3E517798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EC</w:t>
      </w:r>
      <w:r>
        <w:t xml:space="preserve"> = surcoûts/budgétaires (prix, organisation, entretien).</w:t>
      </w:r>
    </w:p>
    <w:p w14:paraId="5665DB02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EA</w:t>
      </w:r>
      <w:r>
        <w:t xml:space="preserve"> = effet volume global (activité &gt; ou &lt; normale).</w:t>
      </w:r>
    </w:p>
    <w:p w14:paraId="1C8FBEEF" w14:textId="7777777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ER</w:t>
      </w:r>
      <w:r>
        <w:t xml:space="preserve"> = efficience/rendement de la production.</w:t>
      </w:r>
    </w:p>
    <w:p w14:paraId="519C9D2E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Synthèse en tableau global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3"/>
        <w:gridCol w:w="1286"/>
        <w:gridCol w:w="3146"/>
        <w:gridCol w:w="4882"/>
      </w:tblGrid>
      <w:tr w:rsidR="005F2341" w:rsidRPr="0029562F" w14:paraId="35004DE2" w14:textId="77777777" w:rsidTr="0029562F">
        <w:trPr>
          <w:tblHeader/>
        </w:trPr>
        <w:tc>
          <w:tcPr>
            <w:tcW w:w="0" w:type="auto"/>
          </w:tcPr>
          <w:p w14:paraId="0046DD0F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Élément</w:t>
            </w:r>
          </w:p>
        </w:tc>
        <w:tc>
          <w:tcPr>
            <w:tcW w:w="0" w:type="auto"/>
          </w:tcPr>
          <w:p w14:paraId="399B38C7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Écart global</w:t>
            </w:r>
          </w:p>
        </w:tc>
        <w:tc>
          <w:tcPr>
            <w:tcW w:w="0" w:type="auto"/>
          </w:tcPr>
          <w:p w14:paraId="12DE0A35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Décomposition</w:t>
            </w:r>
          </w:p>
        </w:tc>
        <w:tc>
          <w:tcPr>
            <w:tcW w:w="0" w:type="auto"/>
          </w:tcPr>
          <w:p w14:paraId="6B3A41EF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b/>
                <w:sz w:val="20"/>
              </w:rPr>
              <w:t>Interprétation</w:t>
            </w:r>
          </w:p>
        </w:tc>
      </w:tr>
      <w:tr w:rsidR="005F2341" w:rsidRPr="0029562F" w14:paraId="0934855D" w14:textId="77777777" w:rsidTr="0029562F">
        <w:tc>
          <w:tcPr>
            <w:tcW w:w="0" w:type="auto"/>
          </w:tcPr>
          <w:p w14:paraId="67B8ABD8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Matières</w:t>
            </w:r>
          </w:p>
        </w:tc>
        <w:tc>
          <w:tcPr>
            <w:tcW w:w="0" w:type="auto"/>
          </w:tcPr>
          <w:p w14:paraId="32A56805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+10440 déf.</w:t>
            </w:r>
          </w:p>
        </w:tc>
        <w:tc>
          <w:tcPr>
            <w:tcW w:w="0" w:type="auto"/>
          </w:tcPr>
          <w:p w14:paraId="0E944689" w14:textId="381D7CB5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EC +13920</w:t>
            </w:r>
            <w:r w:rsidR="0029562F" w:rsidRPr="0029562F">
              <w:rPr>
                <w:sz w:val="20"/>
              </w:rPr>
              <w:t> ;</w:t>
            </w:r>
            <w:r w:rsidRPr="0029562F">
              <w:rPr>
                <w:sz w:val="20"/>
              </w:rPr>
              <w:t xml:space="preserve"> EQ -3480</w:t>
            </w:r>
          </w:p>
        </w:tc>
        <w:tc>
          <w:tcPr>
            <w:tcW w:w="0" w:type="auto"/>
          </w:tcPr>
          <w:p w14:paraId="6962AA84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Prix défavorable, consommation meilleure</w:t>
            </w:r>
          </w:p>
        </w:tc>
      </w:tr>
      <w:tr w:rsidR="005F2341" w:rsidRPr="0029562F" w14:paraId="6E148219" w14:textId="77777777" w:rsidTr="0029562F">
        <w:tc>
          <w:tcPr>
            <w:tcW w:w="0" w:type="auto"/>
          </w:tcPr>
          <w:p w14:paraId="3EECFA7B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MOD</w:t>
            </w:r>
          </w:p>
        </w:tc>
        <w:tc>
          <w:tcPr>
            <w:tcW w:w="0" w:type="auto"/>
          </w:tcPr>
          <w:p w14:paraId="24521548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-69600 fav.</w:t>
            </w:r>
          </w:p>
        </w:tc>
        <w:tc>
          <w:tcPr>
            <w:tcW w:w="0" w:type="auto"/>
          </w:tcPr>
          <w:p w14:paraId="7C072167" w14:textId="3FE1236D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EC -26100</w:t>
            </w:r>
            <w:r w:rsidR="0029562F" w:rsidRPr="0029562F">
              <w:rPr>
                <w:sz w:val="20"/>
              </w:rPr>
              <w:t> ;</w:t>
            </w:r>
            <w:r w:rsidRPr="0029562F">
              <w:rPr>
                <w:sz w:val="20"/>
              </w:rPr>
              <w:t xml:space="preserve"> EQ -43500</w:t>
            </w:r>
          </w:p>
        </w:tc>
        <w:tc>
          <w:tcPr>
            <w:tcW w:w="0" w:type="auto"/>
          </w:tcPr>
          <w:p w14:paraId="389959BD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Salaire moyen plus bas et productivité ↑</w:t>
            </w:r>
          </w:p>
        </w:tc>
      </w:tr>
      <w:tr w:rsidR="005F2341" w:rsidRPr="0029562F" w14:paraId="24424FE8" w14:textId="77777777" w:rsidTr="0029562F">
        <w:tc>
          <w:tcPr>
            <w:tcW w:w="0" w:type="auto"/>
          </w:tcPr>
          <w:p w14:paraId="23CFDC24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Indirects</w:t>
            </w:r>
          </w:p>
        </w:tc>
        <w:tc>
          <w:tcPr>
            <w:tcW w:w="0" w:type="auto"/>
          </w:tcPr>
          <w:p w14:paraId="783D09A5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+137750 déf.</w:t>
            </w:r>
          </w:p>
        </w:tc>
        <w:tc>
          <w:tcPr>
            <w:tcW w:w="0" w:type="auto"/>
          </w:tcPr>
          <w:p w14:paraId="58A80476" w14:textId="1993D40C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EC +120000</w:t>
            </w:r>
            <w:r w:rsidR="0029562F" w:rsidRPr="0029562F">
              <w:rPr>
                <w:sz w:val="20"/>
              </w:rPr>
              <w:t> ;</w:t>
            </w:r>
            <w:r w:rsidRPr="0029562F">
              <w:rPr>
                <w:sz w:val="20"/>
              </w:rPr>
              <w:t xml:space="preserve"> EA -76500</w:t>
            </w:r>
            <w:r w:rsidR="0029562F" w:rsidRPr="0029562F">
              <w:rPr>
                <w:sz w:val="20"/>
              </w:rPr>
              <w:t> ;</w:t>
            </w:r>
            <w:r w:rsidRPr="0029562F">
              <w:rPr>
                <w:sz w:val="20"/>
              </w:rPr>
              <w:t xml:space="preserve"> ER +94250</w:t>
            </w:r>
          </w:p>
        </w:tc>
        <w:tc>
          <w:tcPr>
            <w:tcW w:w="0" w:type="auto"/>
          </w:tcPr>
          <w:p w14:paraId="40C01715" w14:textId="77777777" w:rsidR="005F2341" w:rsidRPr="0029562F" w:rsidRDefault="00000000" w:rsidP="0029562F">
            <w:pPr>
              <w:rPr>
                <w:sz w:val="20"/>
              </w:rPr>
            </w:pPr>
            <w:r w:rsidRPr="0029562F">
              <w:rPr>
                <w:sz w:val="20"/>
              </w:rPr>
              <w:t>Surcoût + mauvais rendement, compensés par suractivité</w:t>
            </w:r>
          </w:p>
        </w:tc>
      </w:tr>
    </w:tbl>
    <w:p w14:paraId="1F003181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Utilité de l’analyse des écarts</w:t>
      </w:r>
    </w:p>
    <w:p w14:paraId="6577DA82" w14:textId="61E2B89A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Contrôle de gestion</w:t>
      </w:r>
      <w:r w:rsidR="0029562F">
        <w:t> :</w:t>
      </w:r>
      <w:r>
        <w:t xml:space="preserve"> outil de gestion par exception, ciblant les écarts significatifs.</w:t>
      </w:r>
    </w:p>
    <w:p w14:paraId="4206935B" w14:textId="51ADBCC7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Pilotage opérationnel</w:t>
      </w:r>
      <w:r w:rsidR="0029562F">
        <w:t> :</w:t>
      </w:r>
      <w:r>
        <w:t xml:space="preserve"> identifier précisément les sources de surcoûts.</w:t>
      </w:r>
    </w:p>
    <w:p w14:paraId="114FD3A4" w14:textId="77C5083A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Révision des standards</w:t>
      </w:r>
      <w:r w:rsidR="0029562F">
        <w:t> :</w:t>
      </w:r>
      <w:r>
        <w:t xml:space="preserve"> ajuster les normes si les écarts persistent.</w:t>
      </w:r>
    </w:p>
    <w:p w14:paraId="3E76FC4A" w14:textId="23AE9A9C" w:rsidR="005F2341" w:rsidRDefault="00000000" w:rsidP="0029562F">
      <w:pPr>
        <w:spacing w:line="240" w:lineRule="auto"/>
        <w:ind w:left="425" w:hanging="227"/>
        <w:jc w:val="both"/>
      </w:pPr>
      <w:r>
        <w:rPr>
          <w:b/>
        </w:rPr>
        <w:t>- Décisions stratégiques</w:t>
      </w:r>
      <w:r w:rsidR="0029562F">
        <w:t> :</w:t>
      </w:r>
      <w:r>
        <w:t xml:space="preserve"> négociation avec fournisseurs, choix technologiques, organisation du travail.</w:t>
      </w:r>
    </w:p>
    <w:p w14:paraId="75B9882F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Conclusion</w:t>
      </w:r>
    </w:p>
    <w:p w14:paraId="69AA6317" w14:textId="77777777" w:rsidR="005F2341" w:rsidRDefault="00000000" w:rsidP="0029562F">
      <w:pPr>
        <w:spacing w:line="240" w:lineRule="auto"/>
        <w:ind w:left="425" w:hanging="227"/>
        <w:jc w:val="both"/>
      </w:pPr>
      <w:r>
        <w:t xml:space="preserve">- Les </w:t>
      </w:r>
      <w:r>
        <w:rPr>
          <w:b/>
        </w:rPr>
        <w:t>coûts prévisionnels</w:t>
      </w:r>
      <w:r>
        <w:t xml:space="preserve"> servent de base budgétaire.</w:t>
      </w:r>
    </w:p>
    <w:p w14:paraId="48A85879" w14:textId="77777777" w:rsidR="005F2341" w:rsidRDefault="00000000" w:rsidP="0029562F">
      <w:pPr>
        <w:spacing w:line="240" w:lineRule="auto"/>
        <w:ind w:left="425" w:hanging="227"/>
        <w:jc w:val="both"/>
      </w:pPr>
      <w:r>
        <w:t xml:space="preserve">- Les </w:t>
      </w:r>
      <w:r>
        <w:rPr>
          <w:b/>
        </w:rPr>
        <w:t>coûts standards</w:t>
      </w:r>
      <w:r>
        <w:t xml:space="preserve"> servent de norme de référence pour le contrôle.</w:t>
      </w:r>
    </w:p>
    <w:p w14:paraId="7D57021B" w14:textId="77777777" w:rsidR="005F2341" w:rsidRDefault="00000000" w:rsidP="0029562F">
      <w:pPr>
        <w:spacing w:line="240" w:lineRule="auto"/>
        <w:ind w:left="425" w:hanging="227"/>
        <w:jc w:val="both"/>
      </w:pPr>
      <w:r>
        <w:t>- L’</w:t>
      </w:r>
      <w:r>
        <w:rPr>
          <w:b/>
        </w:rPr>
        <w:t>analyse des écarts</w:t>
      </w:r>
      <w:r>
        <w:t xml:space="preserve"> (matières, MOD, indirects) met en évidence les causes réelles de performance ou de dérive.</w:t>
      </w:r>
    </w:p>
    <w:p w14:paraId="0DF8B215" w14:textId="253382DD" w:rsidR="005F2341" w:rsidRDefault="00000000" w:rsidP="0029562F">
      <w:pPr>
        <w:spacing w:line="240" w:lineRule="auto"/>
        <w:ind w:left="425" w:hanging="227"/>
        <w:jc w:val="both"/>
      </w:pPr>
      <w:r>
        <w:t xml:space="preserve">- Pour les charges indirectes, la décomposition </w:t>
      </w:r>
      <w:r>
        <w:rPr>
          <w:b/>
        </w:rPr>
        <w:t>EC + EA + ER</w:t>
      </w:r>
      <w:r>
        <w:t xml:space="preserve"> permet une lecture fine</w:t>
      </w:r>
      <w:r w:rsidR="0029562F">
        <w:t> :</w:t>
      </w:r>
    </w:p>
    <w:p w14:paraId="18D4953D" w14:textId="77777777" w:rsidR="005F2341" w:rsidRDefault="00000000" w:rsidP="0029562F">
      <w:pPr>
        <w:spacing w:line="240" w:lineRule="auto"/>
        <w:ind w:left="425" w:hanging="227"/>
        <w:jc w:val="both"/>
      </w:pPr>
      <w:r>
        <w:t>- EC = effet budget,</w:t>
      </w:r>
    </w:p>
    <w:p w14:paraId="2E6E152F" w14:textId="77777777" w:rsidR="005F2341" w:rsidRDefault="00000000" w:rsidP="0029562F">
      <w:pPr>
        <w:spacing w:line="240" w:lineRule="auto"/>
        <w:ind w:left="425" w:hanging="227"/>
        <w:jc w:val="both"/>
      </w:pPr>
      <w:r>
        <w:t>- EA = effet activité,</w:t>
      </w:r>
    </w:p>
    <w:p w14:paraId="502F859D" w14:textId="77777777" w:rsidR="005F2341" w:rsidRDefault="00000000" w:rsidP="0029562F">
      <w:pPr>
        <w:spacing w:line="240" w:lineRule="auto"/>
        <w:ind w:left="425" w:hanging="227"/>
        <w:jc w:val="both"/>
      </w:pPr>
      <w:r>
        <w:t>- ER = effet rendement.</w:t>
      </w:r>
    </w:p>
    <w:p w14:paraId="4A25B432" w14:textId="77777777" w:rsidR="005F2341" w:rsidRDefault="00000000" w:rsidP="0029562F">
      <w:pPr>
        <w:spacing w:line="240" w:lineRule="auto"/>
        <w:jc w:val="both"/>
      </w:pPr>
      <w:r>
        <w:t xml:space="preserve">👉 C’est un outil central du </w:t>
      </w:r>
      <w:r>
        <w:rPr>
          <w:b/>
        </w:rPr>
        <w:t>contrôle budgétaire et du pilotage de la performance industrielle</w:t>
      </w:r>
      <w:r>
        <w:t>.</w:t>
      </w:r>
    </w:p>
    <w:p w14:paraId="237ECC0A" w14:textId="77777777" w:rsidR="005F2341" w:rsidRDefault="00000000" w:rsidP="002956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5266685C" w14:textId="07255121" w:rsidR="005F2341" w:rsidRDefault="00000000" w:rsidP="0029562F">
      <w:pPr>
        <w:spacing w:line="240" w:lineRule="auto"/>
        <w:jc w:val="both"/>
      </w:pPr>
      <w:r>
        <w:t>Passe de format seul</w:t>
      </w:r>
      <w:r w:rsidR="0029562F">
        <w:t> :</w:t>
      </w:r>
      <w:r>
        <w:t xml:space="preserve"> contenu de l'auteur inchangé. Aucune source n'est ajoutée sans vérification sur un document effectivement consulté.</w:t>
      </w:r>
    </w:p>
    <w:sectPr w:rsidR="005F2341" w:rsidSect="0029562F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5BDA9" w14:textId="77777777" w:rsidR="003D6CB2" w:rsidRDefault="003D6CB2">
      <w:pPr>
        <w:spacing w:line="240" w:lineRule="auto"/>
      </w:pPr>
      <w:r>
        <w:separator/>
      </w:r>
    </w:p>
  </w:endnote>
  <w:endnote w:type="continuationSeparator" w:id="0">
    <w:p w14:paraId="1328C566" w14:textId="77777777" w:rsidR="003D6CB2" w:rsidRDefault="003D6C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1CCB" w14:textId="77777777" w:rsidR="005F2341" w:rsidRDefault="00000000">
    <w:pPr>
      <w:tabs>
        <w:tab w:val="right" w:pos="9638"/>
      </w:tabs>
    </w:pPr>
    <w:r>
      <w:rPr>
        <w:color w:val="595959"/>
        <w:sz w:val="18"/>
      </w:rPr>
      <w:t>Fiche 21 - Coûts prévisionnels, coûts standards et analyse des écarts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ED747" w14:textId="77777777" w:rsidR="003D6CB2" w:rsidRDefault="003D6CB2">
      <w:pPr>
        <w:spacing w:line="240" w:lineRule="auto"/>
      </w:pPr>
      <w:r>
        <w:separator/>
      </w:r>
    </w:p>
  </w:footnote>
  <w:footnote w:type="continuationSeparator" w:id="0">
    <w:p w14:paraId="785ED636" w14:textId="77777777" w:rsidR="003D6CB2" w:rsidRDefault="003D6CB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341"/>
    <w:rsid w:val="0029562F"/>
    <w:rsid w:val="003D6CB2"/>
    <w:rsid w:val="004402CC"/>
    <w:rsid w:val="005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A7377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956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2026-10-13T18:06:00Z</dcterms:created>
  <dcterms:modified xsi:type="dcterms:W3CDTF">2026-10-13T18:06:00Z</dcterms:modified>
</cp:coreProperties>
</file>