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8A542" w14:textId="77777777" w:rsidR="00EF0131" w:rsidRDefault="00763A01" w:rsidP="00EF0131">
      <w:pPr>
        <w:pStyle w:val="Titre2"/>
        <w:spacing w:before="0" w:after="0" w:line="240" w:lineRule="auto"/>
      </w:pPr>
      <w:r w:rsidRPr="00763A01">
        <w:rPr>
          <w:rFonts w:ascii="Segoe UI Emoji" w:hAnsi="Segoe UI Emoji" w:cs="Segoe UI Emoji"/>
        </w:rPr>
        <w:t>🌍</w:t>
      </w:r>
      <w:r w:rsidRPr="00763A01">
        <w:t xml:space="preserve"> Fiche 4.3 – Études de cas et grands projets numériques</w:t>
      </w:r>
    </w:p>
    <w:p w14:paraId="25B880CC" w14:textId="60E9AE17" w:rsidR="00763A01" w:rsidRPr="00763A01" w:rsidRDefault="00763A01" w:rsidP="00EF0131">
      <w:pPr>
        <w:spacing w:after="0" w:line="240" w:lineRule="auto"/>
        <w:rPr>
          <w:b/>
          <w:bCs/>
        </w:rPr>
      </w:pPr>
      <w:r w:rsidRPr="00763A01">
        <w:rPr>
          <w:rFonts w:ascii="Segoe UI Emoji" w:hAnsi="Segoe UI Emoji" w:cs="Segoe UI Emoji"/>
          <w:b/>
          <w:bCs/>
        </w:rPr>
        <w:t>🏁</w:t>
      </w:r>
      <w:r w:rsidRPr="00763A01">
        <w:rPr>
          <w:b/>
          <w:bCs/>
        </w:rPr>
        <w:t xml:space="preserve"> Introduction</w:t>
      </w:r>
    </w:p>
    <w:p w14:paraId="3231E535" w14:textId="77777777" w:rsidR="00763A01" w:rsidRDefault="00763A01" w:rsidP="00EF0131">
      <w:pPr>
        <w:spacing w:after="0" w:line="240" w:lineRule="auto"/>
      </w:pPr>
      <w:r w:rsidRPr="00763A01">
        <w:t xml:space="preserve">Les </w:t>
      </w:r>
      <w:r w:rsidRPr="00763A01">
        <w:rPr>
          <w:b/>
          <w:bCs/>
        </w:rPr>
        <w:t>grands projets numériques</w:t>
      </w:r>
      <w:r w:rsidRPr="00763A01">
        <w:t xml:space="preserve"> constituent des laboratoires à ciel ouvert pour observer les réussites et les échecs de la gestion de projet informatique à grande échelle.</w:t>
      </w:r>
    </w:p>
    <w:p w14:paraId="3F32E697" w14:textId="6131F028" w:rsidR="00763A01" w:rsidRPr="00763A01" w:rsidRDefault="00763A01" w:rsidP="00EF0131">
      <w:pPr>
        <w:spacing w:after="0" w:line="240" w:lineRule="auto"/>
      </w:pPr>
      <w:r w:rsidRPr="00763A01">
        <w:t xml:space="preserve">Ils mobilisent souvent des </w:t>
      </w:r>
      <w:r w:rsidRPr="00763A01">
        <w:rPr>
          <w:b/>
          <w:bCs/>
        </w:rPr>
        <w:t>milliers d’acteurs</w:t>
      </w:r>
      <w:r w:rsidRPr="00763A01">
        <w:t xml:space="preserve">, des </w:t>
      </w:r>
      <w:r w:rsidRPr="00763A01">
        <w:rPr>
          <w:b/>
          <w:bCs/>
        </w:rPr>
        <w:t>budgets colossaux</w:t>
      </w:r>
      <w:r w:rsidRPr="00763A01">
        <w:t xml:space="preserve"> et des </w:t>
      </w:r>
      <w:r w:rsidRPr="00763A01">
        <w:rPr>
          <w:b/>
          <w:bCs/>
        </w:rPr>
        <w:t>enjeux stratégiques</w:t>
      </w:r>
      <w:r w:rsidR="00EF0131">
        <w:t> :</w:t>
      </w:r>
      <w:r w:rsidRPr="00763A01">
        <w:t xml:space="preserve"> modernisation de l’État, transformation digitale d’entreprises multinationales, ou encore refonte complète de systèmes d’information.</w:t>
      </w:r>
    </w:p>
    <w:p w14:paraId="1EC4FB82" w14:textId="77777777" w:rsidR="00763A01" w:rsidRPr="00763A01" w:rsidRDefault="00763A01" w:rsidP="00EF0131">
      <w:pPr>
        <w:spacing w:after="0" w:line="240" w:lineRule="auto"/>
      </w:pPr>
      <w:r w:rsidRPr="00763A01">
        <w:t xml:space="preserve">Étudier ces projets permet d’identifier les </w:t>
      </w:r>
      <w:r w:rsidRPr="00763A01">
        <w:rPr>
          <w:b/>
          <w:bCs/>
        </w:rPr>
        <w:t>bonnes pratiques</w:t>
      </w:r>
      <w:r w:rsidRPr="00763A01">
        <w:t xml:space="preserve"> (gouvernance, agilité, pilotage des risques) et les </w:t>
      </w:r>
      <w:r w:rsidRPr="00763A01">
        <w:rPr>
          <w:b/>
          <w:bCs/>
        </w:rPr>
        <w:t>facteurs d’échec récurrents</w:t>
      </w:r>
      <w:r w:rsidRPr="00763A01">
        <w:t xml:space="preserve"> (mauvais cadrage, complexité excessive, sous-estimation du changement).</w:t>
      </w:r>
    </w:p>
    <w:p w14:paraId="6869451C" w14:textId="77777777" w:rsidR="00EF0131" w:rsidRDefault="00763A01" w:rsidP="00EF0131">
      <w:pPr>
        <w:spacing w:after="0" w:line="240" w:lineRule="auto"/>
      </w:pPr>
      <w:r w:rsidRPr="00763A01">
        <w:rPr>
          <w:rFonts w:ascii="Segoe UI Emoji" w:hAnsi="Segoe UI Emoji" w:cs="Segoe UI Emoji"/>
        </w:rPr>
        <w:t>🎯</w:t>
      </w:r>
      <w:r w:rsidRPr="00763A01">
        <w:t xml:space="preserve"> </w:t>
      </w:r>
      <w:r w:rsidRPr="00763A01">
        <w:rPr>
          <w:b/>
          <w:bCs/>
        </w:rPr>
        <w:t>Objectif</w:t>
      </w:r>
      <w:r w:rsidR="00EF0131">
        <w:rPr>
          <w:b/>
          <w:bCs/>
        </w:rPr>
        <w:t> :</w:t>
      </w:r>
      <w:r w:rsidRPr="00763A01">
        <w:t xml:space="preserve"> analyser les retours d’expérience pour comprendre les déterminants du succès ou de l’échec dans les grands projets numériques.</w:t>
      </w:r>
    </w:p>
    <w:p w14:paraId="1D105364" w14:textId="4F78CD50" w:rsidR="00763A01" w:rsidRPr="00763A01" w:rsidRDefault="00763A01" w:rsidP="00EF0131">
      <w:pPr>
        <w:spacing w:after="0" w:line="240" w:lineRule="auto"/>
        <w:rPr>
          <w:b/>
          <w:bCs/>
        </w:rPr>
      </w:pPr>
      <w:r w:rsidRPr="00763A01">
        <w:rPr>
          <w:rFonts w:ascii="Segoe UI Emoji" w:hAnsi="Segoe UI Emoji" w:cs="Segoe UI Emoji"/>
          <w:b/>
          <w:bCs/>
        </w:rPr>
        <w:t>💡</w:t>
      </w:r>
      <w:r w:rsidRPr="00763A01">
        <w:rPr>
          <w:b/>
          <w:bCs/>
        </w:rPr>
        <w:t xml:space="preserve"> Définition</w:t>
      </w:r>
    </w:p>
    <w:p w14:paraId="165BF514" w14:textId="6741EE90" w:rsidR="00763A01" w:rsidRPr="00763A01" w:rsidRDefault="00763A01" w:rsidP="00EF0131">
      <w:pPr>
        <w:spacing w:after="0" w:line="240" w:lineRule="auto"/>
      </w:pPr>
      <w:r w:rsidRPr="00763A01">
        <w:t xml:space="preserve">Un </w:t>
      </w:r>
      <w:r w:rsidRPr="00763A01">
        <w:rPr>
          <w:b/>
          <w:bCs/>
        </w:rPr>
        <w:t>grand projet numérique</w:t>
      </w:r>
      <w:r w:rsidRPr="00763A01">
        <w:t xml:space="preserve"> est une initiative informatique d’envergure nationale ou organisationnelle qui implique</w:t>
      </w:r>
      <w:r w:rsidR="00EF0131">
        <w:t> :</w:t>
      </w:r>
    </w:p>
    <w:p w14:paraId="60D5BA42" w14:textId="77777777" w:rsidR="00763A01" w:rsidRPr="00763A01" w:rsidRDefault="00763A01">
      <w:pPr>
        <w:numPr>
          <w:ilvl w:val="0"/>
          <w:numId w:val="1"/>
        </w:numPr>
        <w:spacing w:after="0" w:line="240" w:lineRule="auto"/>
      </w:pPr>
      <w:r w:rsidRPr="00763A01">
        <w:t>un investissement significatif à l’échelle de l’organisation (sans seuil universel),</w:t>
      </w:r>
    </w:p>
    <w:p w14:paraId="02576673" w14:textId="77777777" w:rsidR="00763A01" w:rsidRPr="00763A01" w:rsidRDefault="00763A01">
      <w:pPr>
        <w:numPr>
          <w:ilvl w:val="0"/>
          <w:numId w:val="1"/>
        </w:numPr>
        <w:spacing w:after="0" w:line="240" w:lineRule="auto"/>
      </w:pPr>
      <w:r w:rsidRPr="00763A01">
        <w:t xml:space="preserve">une </w:t>
      </w:r>
      <w:r w:rsidRPr="00763A01">
        <w:rPr>
          <w:b/>
          <w:bCs/>
        </w:rPr>
        <w:t>durée pluriannuelle</w:t>
      </w:r>
      <w:r w:rsidRPr="00763A01">
        <w:t>,</w:t>
      </w:r>
    </w:p>
    <w:p w14:paraId="6E01EF8A" w14:textId="77777777" w:rsidR="00763A01" w:rsidRPr="00763A01" w:rsidRDefault="00763A01">
      <w:pPr>
        <w:numPr>
          <w:ilvl w:val="0"/>
          <w:numId w:val="1"/>
        </w:numPr>
        <w:spacing w:after="0" w:line="240" w:lineRule="auto"/>
      </w:pPr>
      <w:r w:rsidRPr="00763A01">
        <w:t xml:space="preserve">des </w:t>
      </w:r>
      <w:r w:rsidRPr="00763A01">
        <w:rPr>
          <w:b/>
          <w:bCs/>
        </w:rPr>
        <w:t>enjeux stratégiques, économiques ou de souveraineté</w:t>
      </w:r>
      <w:r w:rsidRPr="00763A01">
        <w:t>,</w:t>
      </w:r>
    </w:p>
    <w:p w14:paraId="5B4F6FF4" w14:textId="77777777" w:rsidR="00763A01" w:rsidRPr="00763A01" w:rsidRDefault="00763A01">
      <w:pPr>
        <w:numPr>
          <w:ilvl w:val="0"/>
          <w:numId w:val="1"/>
        </w:numPr>
        <w:spacing w:after="0" w:line="240" w:lineRule="auto"/>
      </w:pPr>
      <w:r w:rsidRPr="00763A01">
        <w:t xml:space="preserve">et une </w:t>
      </w:r>
      <w:r w:rsidRPr="00763A01">
        <w:rPr>
          <w:b/>
          <w:bCs/>
        </w:rPr>
        <w:t>forte dépendance organisationnelle</w:t>
      </w:r>
      <w:r w:rsidRPr="00763A01">
        <w:t xml:space="preserve"> (plusieurs entités impliquées).</w:t>
      </w:r>
    </w:p>
    <w:p w14:paraId="293F43FE" w14:textId="77777777" w:rsidR="00EF0131" w:rsidRDefault="00763A01" w:rsidP="00EF0131">
      <w:pPr>
        <w:spacing w:after="0" w:line="240" w:lineRule="auto"/>
      </w:pPr>
      <w:r w:rsidRPr="00763A01">
        <w:t>Exemples</w:t>
      </w:r>
      <w:r w:rsidR="00EF0131">
        <w:t> :</w:t>
      </w:r>
      <w:r w:rsidRPr="00763A01">
        <w:t xml:space="preserve"> mise en place d’un ERP groupe, refonte du SI de l’État, numérisation des services publics, ou migration cloud globale.</w:t>
      </w:r>
    </w:p>
    <w:p w14:paraId="1EF03FAD" w14:textId="298D3537" w:rsidR="00763A01" w:rsidRPr="00763A01" w:rsidRDefault="00763A01" w:rsidP="00EF0131">
      <w:pPr>
        <w:spacing w:after="0" w:line="240" w:lineRule="auto"/>
        <w:rPr>
          <w:b/>
          <w:bCs/>
        </w:rPr>
      </w:pPr>
      <w:r w:rsidRPr="00763A01">
        <w:rPr>
          <w:rFonts w:ascii="Segoe UI Emoji" w:hAnsi="Segoe UI Emoji" w:cs="Segoe UI Emoji"/>
          <w:b/>
          <w:bCs/>
        </w:rPr>
        <w:t>⚙️</w:t>
      </w:r>
      <w:r w:rsidRPr="00763A01">
        <w:rPr>
          <w:b/>
          <w:bCs/>
        </w:rPr>
        <w:t xml:space="preserve"> Typologie des grands projets numériques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60"/>
        <w:gridCol w:w="4759"/>
        <w:gridCol w:w="3937"/>
      </w:tblGrid>
      <w:tr w:rsidR="00763A01" w:rsidRPr="00EF0131" w14:paraId="685973EC" w14:textId="77777777" w:rsidTr="00EF0131">
        <w:trPr>
          <w:tblHeader/>
        </w:trPr>
        <w:tc>
          <w:tcPr>
            <w:tcW w:w="0" w:type="auto"/>
            <w:hideMark/>
          </w:tcPr>
          <w:p w14:paraId="01C780A1" w14:textId="77777777" w:rsidR="00763A01" w:rsidRPr="00EF0131" w:rsidRDefault="00763A01" w:rsidP="00EF0131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EF0131">
              <w:rPr>
                <w:rFonts w:ascii="Calibri" w:hAnsi="Calibri"/>
                <w:b/>
                <w:bCs/>
                <w:sz w:val="20"/>
              </w:rPr>
              <w:t>Catégorie</w:t>
            </w:r>
          </w:p>
        </w:tc>
        <w:tc>
          <w:tcPr>
            <w:tcW w:w="0" w:type="auto"/>
            <w:hideMark/>
          </w:tcPr>
          <w:p w14:paraId="5D9E5D7A" w14:textId="77777777" w:rsidR="00763A01" w:rsidRPr="00EF0131" w:rsidRDefault="00763A01" w:rsidP="00EF0131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EF0131">
              <w:rPr>
                <w:rFonts w:ascii="Calibri" w:hAnsi="Calibri"/>
                <w:b/>
                <w:bCs/>
                <w:sz w:val="20"/>
              </w:rPr>
              <w:t>Objectif</w:t>
            </w:r>
          </w:p>
        </w:tc>
        <w:tc>
          <w:tcPr>
            <w:tcW w:w="0" w:type="auto"/>
            <w:hideMark/>
          </w:tcPr>
          <w:p w14:paraId="1F750BFC" w14:textId="77777777" w:rsidR="00763A01" w:rsidRPr="00EF0131" w:rsidRDefault="00763A01" w:rsidP="00EF0131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EF0131">
              <w:rPr>
                <w:rFonts w:ascii="Calibri" w:hAnsi="Calibri"/>
                <w:b/>
                <w:bCs/>
                <w:sz w:val="20"/>
              </w:rPr>
              <w:t>Exemple</w:t>
            </w:r>
          </w:p>
        </w:tc>
      </w:tr>
      <w:tr w:rsidR="00763A01" w:rsidRPr="00EF0131" w14:paraId="6A028543" w14:textId="77777777" w:rsidTr="00EF0131">
        <w:tc>
          <w:tcPr>
            <w:tcW w:w="0" w:type="auto"/>
            <w:hideMark/>
          </w:tcPr>
          <w:p w14:paraId="4AC11979" w14:textId="77777777" w:rsidR="00763A01" w:rsidRPr="00EF0131" w:rsidRDefault="00763A01" w:rsidP="00EF0131">
            <w:pPr>
              <w:jc w:val="left"/>
              <w:rPr>
                <w:rFonts w:ascii="Calibri" w:hAnsi="Calibri"/>
                <w:sz w:val="20"/>
              </w:rPr>
            </w:pPr>
            <w:r w:rsidRPr="00EF0131">
              <w:rPr>
                <w:rFonts w:ascii="Calibri" w:hAnsi="Calibri"/>
                <w:b/>
                <w:bCs/>
                <w:sz w:val="20"/>
              </w:rPr>
              <w:t>Projets publics</w:t>
            </w:r>
          </w:p>
        </w:tc>
        <w:tc>
          <w:tcPr>
            <w:tcW w:w="0" w:type="auto"/>
            <w:hideMark/>
          </w:tcPr>
          <w:p w14:paraId="6CFB10A5" w14:textId="77777777" w:rsidR="00763A01" w:rsidRPr="00EF0131" w:rsidRDefault="00763A01" w:rsidP="00EF0131">
            <w:pPr>
              <w:jc w:val="left"/>
              <w:rPr>
                <w:rFonts w:ascii="Calibri" w:hAnsi="Calibri"/>
                <w:sz w:val="20"/>
              </w:rPr>
            </w:pPr>
            <w:r w:rsidRPr="00EF0131">
              <w:rPr>
                <w:rFonts w:ascii="Calibri" w:hAnsi="Calibri"/>
                <w:sz w:val="20"/>
              </w:rPr>
              <w:t>Moderniser les services de l’État, améliorer l’accès des citoyens.</w:t>
            </w:r>
          </w:p>
        </w:tc>
        <w:tc>
          <w:tcPr>
            <w:tcW w:w="0" w:type="auto"/>
            <w:hideMark/>
          </w:tcPr>
          <w:p w14:paraId="76BA7409" w14:textId="77777777" w:rsidR="00763A01" w:rsidRPr="00EF0131" w:rsidRDefault="00763A01" w:rsidP="00EF0131">
            <w:pPr>
              <w:jc w:val="left"/>
              <w:rPr>
                <w:rFonts w:ascii="Calibri" w:hAnsi="Calibri"/>
                <w:sz w:val="20"/>
              </w:rPr>
            </w:pPr>
            <w:r w:rsidRPr="00EF0131">
              <w:rPr>
                <w:rFonts w:ascii="Calibri" w:hAnsi="Calibri"/>
                <w:sz w:val="20"/>
              </w:rPr>
              <w:t>Chorus (budget de l’État), Dématérialisation fiscale.</w:t>
            </w:r>
          </w:p>
        </w:tc>
      </w:tr>
      <w:tr w:rsidR="00763A01" w:rsidRPr="00EF0131" w14:paraId="2521FBCE" w14:textId="77777777" w:rsidTr="00EF0131">
        <w:tc>
          <w:tcPr>
            <w:tcW w:w="0" w:type="auto"/>
            <w:hideMark/>
          </w:tcPr>
          <w:p w14:paraId="7DBF4F40" w14:textId="77777777" w:rsidR="00763A01" w:rsidRPr="00EF0131" w:rsidRDefault="00763A01" w:rsidP="00EF0131">
            <w:pPr>
              <w:jc w:val="left"/>
              <w:rPr>
                <w:rFonts w:ascii="Calibri" w:hAnsi="Calibri"/>
                <w:sz w:val="20"/>
              </w:rPr>
            </w:pPr>
            <w:r w:rsidRPr="00EF0131">
              <w:rPr>
                <w:rFonts w:ascii="Calibri" w:hAnsi="Calibri"/>
                <w:b/>
                <w:bCs/>
                <w:sz w:val="20"/>
              </w:rPr>
              <w:t>Projets d’entreprise</w:t>
            </w:r>
          </w:p>
        </w:tc>
        <w:tc>
          <w:tcPr>
            <w:tcW w:w="0" w:type="auto"/>
            <w:hideMark/>
          </w:tcPr>
          <w:p w14:paraId="2F504A61" w14:textId="77777777" w:rsidR="00763A01" w:rsidRPr="00EF0131" w:rsidRDefault="00763A01" w:rsidP="00EF0131">
            <w:pPr>
              <w:jc w:val="left"/>
              <w:rPr>
                <w:rFonts w:ascii="Calibri" w:hAnsi="Calibri"/>
                <w:sz w:val="20"/>
              </w:rPr>
            </w:pPr>
            <w:r w:rsidRPr="00EF0131">
              <w:rPr>
                <w:rFonts w:ascii="Calibri" w:hAnsi="Calibri"/>
                <w:sz w:val="20"/>
              </w:rPr>
              <w:t>Unifier ou transformer le système d’information interne.</w:t>
            </w:r>
          </w:p>
        </w:tc>
        <w:tc>
          <w:tcPr>
            <w:tcW w:w="0" w:type="auto"/>
            <w:hideMark/>
          </w:tcPr>
          <w:p w14:paraId="36423618" w14:textId="77777777" w:rsidR="00763A01" w:rsidRPr="00EF0131" w:rsidRDefault="00763A01" w:rsidP="00EF0131">
            <w:pPr>
              <w:jc w:val="left"/>
              <w:rPr>
                <w:rFonts w:ascii="Calibri" w:hAnsi="Calibri"/>
                <w:sz w:val="20"/>
              </w:rPr>
            </w:pPr>
            <w:r w:rsidRPr="00EF0131">
              <w:rPr>
                <w:rFonts w:ascii="Calibri" w:hAnsi="Calibri"/>
                <w:sz w:val="20"/>
              </w:rPr>
              <w:t>ERP SAP groupe, migration vers le cloud.</w:t>
            </w:r>
          </w:p>
        </w:tc>
      </w:tr>
      <w:tr w:rsidR="00763A01" w:rsidRPr="00EF0131" w14:paraId="3B24534F" w14:textId="77777777" w:rsidTr="00EF0131">
        <w:tc>
          <w:tcPr>
            <w:tcW w:w="0" w:type="auto"/>
            <w:hideMark/>
          </w:tcPr>
          <w:p w14:paraId="23C5D372" w14:textId="77777777" w:rsidR="00763A01" w:rsidRPr="00EF0131" w:rsidRDefault="00763A01" w:rsidP="00EF0131">
            <w:pPr>
              <w:jc w:val="left"/>
              <w:rPr>
                <w:rFonts w:ascii="Calibri" w:hAnsi="Calibri"/>
                <w:sz w:val="20"/>
              </w:rPr>
            </w:pPr>
            <w:r w:rsidRPr="00EF0131">
              <w:rPr>
                <w:rFonts w:ascii="Calibri" w:hAnsi="Calibri"/>
                <w:b/>
                <w:bCs/>
                <w:sz w:val="20"/>
              </w:rPr>
              <w:t>Projets sectoriels</w:t>
            </w:r>
          </w:p>
        </w:tc>
        <w:tc>
          <w:tcPr>
            <w:tcW w:w="0" w:type="auto"/>
            <w:hideMark/>
          </w:tcPr>
          <w:p w14:paraId="774D8C6F" w14:textId="77777777" w:rsidR="00763A01" w:rsidRPr="00EF0131" w:rsidRDefault="00763A01" w:rsidP="00EF0131">
            <w:pPr>
              <w:jc w:val="left"/>
              <w:rPr>
                <w:rFonts w:ascii="Calibri" w:hAnsi="Calibri"/>
                <w:sz w:val="20"/>
              </w:rPr>
            </w:pPr>
            <w:r w:rsidRPr="00EF0131">
              <w:rPr>
                <w:rFonts w:ascii="Calibri" w:hAnsi="Calibri"/>
                <w:sz w:val="20"/>
              </w:rPr>
              <w:t>Répondre à des obligations réglementaires.</w:t>
            </w:r>
          </w:p>
        </w:tc>
        <w:tc>
          <w:tcPr>
            <w:tcW w:w="0" w:type="auto"/>
            <w:hideMark/>
          </w:tcPr>
          <w:p w14:paraId="75117E39" w14:textId="77777777" w:rsidR="00763A01" w:rsidRPr="00EF0131" w:rsidRDefault="00763A01" w:rsidP="00EF0131">
            <w:pPr>
              <w:jc w:val="left"/>
              <w:rPr>
                <w:rFonts w:ascii="Calibri" w:hAnsi="Calibri"/>
                <w:sz w:val="20"/>
              </w:rPr>
            </w:pPr>
            <w:r w:rsidRPr="00EF0131">
              <w:rPr>
                <w:rFonts w:ascii="Calibri" w:hAnsi="Calibri"/>
                <w:sz w:val="20"/>
              </w:rPr>
              <w:t>RGPD, cybersécurité, dématérialisation comptable.</w:t>
            </w:r>
          </w:p>
        </w:tc>
      </w:tr>
      <w:tr w:rsidR="00763A01" w:rsidRPr="00EF0131" w14:paraId="469517AC" w14:textId="77777777" w:rsidTr="00EF0131">
        <w:tc>
          <w:tcPr>
            <w:tcW w:w="0" w:type="auto"/>
            <w:hideMark/>
          </w:tcPr>
          <w:p w14:paraId="7B9CC840" w14:textId="77777777" w:rsidR="00763A01" w:rsidRPr="00EF0131" w:rsidRDefault="00763A01" w:rsidP="00EF0131">
            <w:pPr>
              <w:jc w:val="left"/>
              <w:rPr>
                <w:rFonts w:ascii="Calibri" w:hAnsi="Calibri"/>
                <w:sz w:val="20"/>
              </w:rPr>
            </w:pPr>
            <w:r w:rsidRPr="00EF0131">
              <w:rPr>
                <w:rFonts w:ascii="Calibri" w:hAnsi="Calibri"/>
                <w:b/>
                <w:bCs/>
                <w:sz w:val="20"/>
              </w:rPr>
              <w:t>Projets stratégiques</w:t>
            </w:r>
          </w:p>
        </w:tc>
        <w:tc>
          <w:tcPr>
            <w:tcW w:w="0" w:type="auto"/>
            <w:hideMark/>
          </w:tcPr>
          <w:p w14:paraId="48BB3530" w14:textId="77777777" w:rsidR="00763A01" w:rsidRPr="00EF0131" w:rsidRDefault="00763A01" w:rsidP="00EF0131">
            <w:pPr>
              <w:jc w:val="left"/>
              <w:rPr>
                <w:rFonts w:ascii="Calibri" w:hAnsi="Calibri"/>
                <w:sz w:val="20"/>
              </w:rPr>
            </w:pPr>
            <w:r w:rsidRPr="00EF0131">
              <w:rPr>
                <w:rFonts w:ascii="Calibri" w:hAnsi="Calibri"/>
                <w:sz w:val="20"/>
              </w:rPr>
              <w:t>Gagner en compétitivité, intégrer l’IA ou la data.</w:t>
            </w:r>
          </w:p>
        </w:tc>
        <w:tc>
          <w:tcPr>
            <w:tcW w:w="0" w:type="auto"/>
            <w:hideMark/>
          </w:tcPr>
          <w:p w14:paraId="50F448AE" w14:textId="77777777" w:rsidR="00763A01" w:rsidRPr="00EF0131" w:rsidRDefault="00763A01" w:rsidP="00EF0131">
            <w:pPr>
              <w:jc w:val="left"/>
              <w:rPr>
                <w:rFonts w:ascii="Calibri" w:hAnsi="Calibri"/>
                <w:sz w:val="20"/>
              </w:rPr>
            </w:pPr>
            <w:r w:rsidRPr="00EF0131">
              <w:rPr>
                <w:rFonts w:ascii="Calibri" w:hAnsi="Calibri"/>
                <w:sz w:val="20"/>
              </w:rPr>
              <w:t>Big Data, IA prédictive, automatisation industrielle.</w:t>
            </w:r>
          </w:p>
        </w:tc>
      </w:tr>
    </w:tbl>
    <w:p w14:paraId="60BA00DE" w14:textId="65BCA130" w:rsidR="00763A01" w:rsidRPr="00763A01" w:rsidRDefault="00763A01" w:rsidP="00EF0131">
      <w:pPr>
        <w:spacing w:after="0" w:line="240" w:lineRule="auto"/>
      </w:pPr>
    </w:p>
    <w:p w14:paraId="5AC02741" w14:textId="246EC31C" w:rsidR="00763A01" w:rsidRPr="00763A01" w:rsidRDefault="00763A01" w:rsidP="00EF0131">
      <w:pPr>
        <w:spacing w:after="0" w:line="240" w:lineRule="auto"/>
        <w:rPr>
          <w:b/>
          <w:bCs/>
        </w:rPr>
      </w:pPr>
      <w:r w:rsidRPr="00763A01">
        <w:rPr>
          <w:rFonts w:ascii="Segoe UI Emoji" w:hAnsi="Segoe UI Emoji" w:cs="Segoe UI Emoji"/>
          <w:b/>
          <w:bCs/>
        </w:rPr>
        <w:t>🧭</w:t>
      </w:r>
      <w:r w:rsidRPr="00763A01">
        <w:rPr>
          <w:b/>
          <w:bCs/>
        </w:rPr>
        <w:t xml:space="preserve"> 1. Étude de cas</w:t>
      </w:r>
      <w:r w:rsidR="00EF0131">
        <w:rPr>
          <w:b/>
          <w:bCs/>
        </w:rPr>
        <w:t> :</w:t>
      </w:r>
      <w:r w:rsidRPr="00763A01">
        <w:rPr>
          <w:b/>
          <w:bCs/>
        </w:rPr>
        <w:t xml:space="preserve"> les grands projets publics français (Cour des comptes, 2020–2023)</w:t>
      </w:r>
    </w:p>
    <w:p w14:paraId="18AEC3F4" w14:textId="77777777" w:rsidR="00763A01" w:rsidRPr="00763A01" w:rsidRDefault="00763A01" w:rsidP="00EF0131">
      <w:pPr>
        <w:spacing w:after="0" w:line="240" w:lineRule="auto"/>
        <w:rPr>
          <w:b/>
          <w:bCs/>
        </w:rPr>
      </w:pPr>
      <w:r w:rsidRPr="00763A01">
        <w:rPr>
          <w:rFonts w:ascii="Segoe UI Emoji" w:hAnsi="Segoe UI Emoji" w:cs="Segoe UI Emoji"/>
          <w:b/>
          <w:bCs/>
        </w:rPr>
        <w:t>📘</w:t>
      </w:r>
      <w:r w:rsidRPr="00763A01">
        <w:rPr>
          <w:b/>
          <w:bCs/>
        </w:rPr>
        <w:t xml:space="preserve"> Contexte</w:t>
      </w:r>
    </w:p>
    <w:p w14:paraId="03A02B3B" w14:textId="77777777" w:rsidR="00763A01" w:rsidRDefault="00763A01" w:rsidP="00EF0131">
      <w:pPr>
        <w:spacing w:after="0" w:line="240" w:lineRule="auto"/>
      </w:pPr>
      <w:r w:rsidRPr="00763A01">
        <w:t>La Cour des comptes a analysé plusieurs projets numériques d’État (Chorus, Louvois, SIRHEN, ONP).</w:t>
      </w:r>
    </w:p>
    <w:p w14:paraId="32A723C4" w14:textId="77777777" w:rsidR="00763A01" w:rsidRPr="00763A01" w:rsidRDefault="00763A01" w:rsidP="00EF0131">
      <w:pPr>
        <w:spacing w:after="0" w:line="240" w:lineRule="auto"/>
      </w:pPr>
      <w:r w:rsidRPr="00763A01">
        <w:t xml:space="preserve">Elle a mis en évidence de graves </w:t>
      </w:r>
      <w:r w:rsidRPr="00763A01">
        <w:rPr>
          <w:b/>
          <w:bCs/>
        </w:rPr>
        <w:t>défaillances de pilotage</w:t>
      </w:r>
      <w:r w:rsidRPr="00763A01">
        <w:t xml:space="preserve"> et </w:t>
      </w:r>
      <w:r w:rsidRPr="00763A01">
        <w:rPr>
          <w:b/>
          <w:bCs/>
        </w:rPr>
        <w:t>problèmes structurels récurrents</w:t>
      </w:r>
      <w:r w:rsidRPr="00763A01">
        <w:t>.</w:t>
      </w:r>
    </w:p>
    <w:p w14:paraId="5113EBEC" w14:textId="77777777" w:rsidR="00763A01" w:rsidRPr="00763A01" w:rsidRDefault="00763A01" w:rsidP="00EF0131">
      <w:pPr>
        <w:spacing w:after="0" w:line="240" w:lineRule="auto"/>
        <w:rPr>
          <w:b/>
          <w:bCs/>
        </w:rPr>
      </w:pPr>
      <w:r w:rsidRPr="00763A01">
        <w:rPr>
          <w:rFonts w:ascii="Segoe UI Emoji" w:hAnsi="Segoe UI Emoji" w:cs="Segoe UI Emoji"/>
          <w:b/>
          <w:bCs/>
        </w:rPr>
        <w:t>⚙️</w:t>
      </w:r>
      <w:r w:rsidRPr="00763A01">
        <w:rPr>
          <w:b/>
          <w:bCs/>
        </w:rPr>
        <w:t xml:space="preserve"> Constats principaux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11"/>
        <w:gridCol w:w="3775"/>
        <w:gridCol w:w="3770"/>
      </w:tblGrid>
      <w:tr w:rsidR="00763A01" w:rsidRPr="00EF0131" w14:paraId="79816F61" w14:textId="77777777" w:rsidTr="00EF0131">
        <w:trPr>
          <w:tblHeader/>
        </w:trPr>
        <w:tc>
          <w:tcPr>
            <w:tcW w:w="0" w:type="auto"/>
            <w:hideMark/>
          </w:tcPr>
          <w:p w14:paraId="044E8EC9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Problème identifié</w:t>
            </w:r>
          </w:p>
        </w:tc>
        <w:tc>
          <w:tcPr>
            <w:tcW w:w="0" w:type="auto"/>
            <w:hideMark/>
          </w:tcPr>
          <w:p w14:paraId="54C86486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Illustration</w:t>
            </w:r>
          </w:p>
        </w:tc>
        <w:tc>
          <w:tcPr>
            <w:tcW w:w="0" w:type="auto"/>
            <w:hideMark/>
          </w:tcPr>
          <w:p w14:paraId="26C548AA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Conséquence</w:t>
            </w:r>
          </w:p>
        </w:tc>
      </w:tr>
      <w:tr w:rsidR="00763A01" w:rsidRPr="00EF0131" w14:paraId="3944EE39" w14:textId="77777777" w:rsidTr="00EF0131">
        <w:tc>
          <w:tcPr>
            <w:tcW w:w="0" w:type="auto"/>
            <w:hideMark/>
          </w:tcPr>
          <w:p w14:paraId="759AE355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Mauvaise gouvernance</w:t>
            </w:r>
          </w:p>
        </w:tc>
        <w:tc>
          <w:tcPr>
            <w:tcW w:w="0" w:type="auto"/>
            <w:hideMark/>
          </w:tcPr>
          <w:p w14:paraId="521020E6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Absence de pilotage unique ou de référent MOA</w:t>
            </w:r>
          </w:p>
        </w:tc>
        <w:tc>
          <w:tcPr>
            <w:tcW w:w="0" w:type="auto"/>
            <w:hideMark/>
          </w:tcPr>
          <w:p w14:paraId="4FCAFC7C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Retards importants et incohérences fonctionnelles</w:t>
            </w:r>
          </w:p>
        </w:tc>
      </w:tr>
      <w:tr w:rsidR="00763A01" w:rsidRPr="00EF0131" w14:paraId="584849A9" w14:textId="77777777" w:rsidTr="00EF0131">
        <w:tc>
          <w:tcPr>
            <w:tcW w:w="0" w:type="auto"/>
            <w:hideMark/>
          </w:tcPr>
          <w:p w14:paraId="2473DDFF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Spécifications trop rigides</w:t>
            </w:r>
          </w:p>
        </w:tc>
        <w:tc>
          <w:tcPr>
            <w:tcW w:w="0" w:type="auto"/>
            <w:hideMark/>
          </w:tcPr>
          <w:p w14:paraId="0C183896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Cahier des charges figé dès le départ</w:t>
            </w:r>
          </w:p>
        </w:tc>
        <w:tc>
          <w:tcPr>
            <w:tcW w:w="0" w:type="auto"/>
            <w:hideMark/>
          </w:tcPr>
          <w:p w14:paraId="183F87C5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Inadaptation aux besoins évolutifs</w:t>
            </w:r>
          </w:p>
        </w:tc>
      </w:tr>
      <w:tr w:rsidR="00763A01" w:rsidRPr="00EF0131" w14:paraId="46B3615A" w14:textId="77777777" w:rsidTr="00EF0131">
        <w:tc>
          <w:tcPr>
            <w:tcW w:w="0" w:type="auto"/>
            <w:hideMark/>
          </w:tcPr>
          <w:p w14:paraId="683EC1F7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Empilement d’acteurs</w:t>
            </w:r>
          </w:p>
        </w:tc>
        <w:tc>
          <w:tcPr>
            <w:tcW w:w="0" w:type="auto"/>
            <w:hideMark/>
          </w:tcPr>
          <w:p w14:paraId="4AA41E4F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Multiplicité d’intervenants (DGFiP, DSI, ministères)</w:t>
            </w:r>
          </w:p>
        </w:tc>
        <w:tc>
          <w:tcPr>
            <w:tcW w:w="0" w:type="auto"/>
            <w:hideMark/>
          </w:tcPr>
          <w:p w14:paraId="152BA707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Dilution des responsabilités</w:t>
            </w:r>
          </w:p>
        </w:tc>
      </w:tr>
      <w:tr w:rsidR="00763A01" w:rsidRPr="00EF0131" w14:paraId="0CF12A2F" w14:textId="77777777" w:rsidTr="00EF0131">
        <w:tc>
          <w:tcPr>
            <w:tcW w:w="0" w:type="auto"/>
            <w:hideMark/>
          </w:tcPr>
          <w:p w14:paraId="6AAAA12B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Sous-estimation des coûts</w:t>
            </w:r>
          </w:p>
        </w:tc>
        <w:tc>
          <w:tcPr>
            <w:tcW w:w="0" w:type="auto"/>
            <w:hideMark/>
          </w:tcPr>
          <w:p w14:paraId="2EF5E8E8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Budget initial x3 ou x4</w:t>
            </w:r>
          </w:p>
        </w:tc>
        <w:tc>
          <w:tcPr>
            <w:tcW w:w="0" w:type="auto"/>
            <w:hideMark/>
          </w:tcPr>
          <w:p w14:paraId="2AF4D08B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Dérapage financier majeur</w:t>
            </w:r>
          </w:p>
        </w:tc>
      </w:tr>
      <w:tr w:rsidR="00763A01" w:rsidRPr="00EF0131" w14:paraId="501A7EA6" w14:textId="77777777" w:rsidTr="00EF0131">
        <w:tc>
          <w:tcPr>
            <w:tcW w:w="0" w:type="auto"/>
            <w:hideMark/>
          </w:tcPr>
          <w:p w14:paraId="1AEBFDB5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Absence de stratégie de changement</w:t>
            </w:r>
          </w:p>
        </w:tc>
        <w:tc>
          <w:tcPr>
            <w:tcW w:w="0" w:type="auto"/>
            <w:hideMark/>
          </w:tcPr>
          <w:p w14:paraId="6A70B7CE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Pas de formation ou de communication</w:t>
            </w:r>
          </w:p>
        </w:tc>
        <w:tc>
          <w:tcPr>
            <w:tcW w:w="0" w:type="auto"/>
            <w:hideMark/>
          </w:tcPr>
          <w:p w14:paraId="01485CBD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Rejet du système par les utilisateurs</w:t>
            </w:r>
          </w:p>
        </w:tc>
      </w:tr>
    </w:tbl>
    <w:p w14:paraId="237984CB" w14:textId="549EAB27" w:rsidR="00763A01" w:rsidRPr="00763A01" w:rsidRDefault="00763A01" w:rsidP="00EF0131">
      <w:pPr>
        <w:spacing w:after="0" w:line="240" w:lineRule="auto"/>
      </w:pPr>
      <w:r w:rsidRPr="00763A01">
        <w:rPr>
          <w:rFonts w:ascii="Segoe UI Emoji" w:hAnsi="Segoe UI Emoji" w:cs="Segoe UI Emoji"/>
        </w:rPr>
        <w:t>💬</w:t>
      </w:r>
      <w:r w:rsidRPr="00763A01">
        <w:t xml:space="preserve"> </w:t>
      </w:r>
      <w:r w:rsidRPr="00763A01">
        <w:rPr>
          <w:b/>
          <w:bCs/>
        </w:rPr>
        <w:t>Chiffres-clés</w:t>
      </w:r>
      <w:r w:rsidR="00EF0131">
        <w:rPr>
          <w:b/>
          <w:bCs/>
        </w:rPr>
        <w:t> :</w:t>
      </w:r>
    </w:p>
    <w:p w14:paraId="07E82090" w14:textId="75DD5634" w:rsidR="00763A01" w:rsidRPr="00763A01" w:rsidRDefault="00763A01">
      <w:pPr>
        <w:numPr>
          <w:ilvl w:val="0"/>
          <w:numId w:val="2"/>
        </w:numPr>
        <w:spacing w:after="0" w:line="240" w:lineRule="auto"/>
      </w:pPr>
      <w:r w:rsidRPr="00763A01">
        <w:t>Les retards et dépassements de coûts doivent être documentés projet par projet</w:t>
      </w:r>
      <w:r w:rsidR="00EF0131">
        <w:t> ;</w:t>
      </w:r>
      <w:r w:rsidRPr="00763A01">
        <w:t xml:space="preserve"> aucune proportion générale n’est retenue ici.</w:t>
      </w:r>
    </w:p>
    <w:p w14:paraId="1B5B5628" w14:textId="77777777" w:rsidR="00EF0131" w:rsidRDefault="00763A01">
      <w:pPr>
        <w:numPr>
          <w:ilvl w:val="0"/>
          <w:numId w:val="2"/>
        </w:numPr>
        <w:spacing w:after="0" w:line="240" w:lineRule="auto"/>
      </w:pPr>
      <w:r w:rsidRPr="00763A01">
        <w:t>La Cour des comptes (2020) analyse les problèmes de pilotage des grands projets de l’État, notamment la gouvernance, la maîtrise d’ouvrage et les risques.</w:t>
      </w:r>
    </w:p>
    <w:p w14:paraId="1BC4E7E2" w14:textId="7B2025E9" w:rsidR="00763A01" w:rsidRPr="00763A01" w:rsidRDefault="00763A01" w:rsidP="00EF0131">
      <w:pPr>
        <w:spacing w:after="0" w:line="240" w:lineRule="auto"/>
        <w:rPr>
          <w:b/>
          <w:bCs/>
        </w:rPr>
      </w:pPr>
      <w:r w:rsidRPr="00763A01">
        <w:rPr>
          <w:rFonts w:ascii="Segoe UI Emoji" w:hAnsi="Segoe UI Emoji" w:cs="Segoe UI Emoji"/>
          <w:b/>
          <w:bCs/>
        </w:rPr>
        <w:t>💡</w:t>
      </w:r>
      <w:r w:rsidRPr="00763A01">
        <w:rPr>
          <w:b/>
          <w:bCs/>
        </w:rPr>
        <w:t xml:space="preserve"> Recommandations de la Cour des comptes</w:t>
      </w:r>
    </w:p>
    <w:p w14:paraId="6C008EC9" w14:textId="77777777" w:rsidR="00763A01" w:rsidRPr="00763A01" w:rsidRDefault="00763A01">
      <w:pPr>
        <w:numPr>
          <w:ilvl w:val="0"/>
          <w:numId w:val="3"/>
        </w:numPr>
        <w:spacing w:after="0" w:line="240" w:lineRule="auto"/>
      </w:pPr>
      <w:r w:rsidRPr="00763A01">
        <w:t xml:space="preserve">Renforcer la </w:t>
      </w:r>
      <w:r w:rsidRPr="00763A01">
        <w:rPr>
          <w:b/>
          <w:bCs/>
        </w:rPr>
        <w:t>gouvernance interministerielle</w:t>
      </w:r>
      <w:r w:rsidRPr="00763A01">
        <w:t>.</w:t>
      </w:r>
    </w:p>
    <w:p w14:paraId="6C72A303" w14:textId="77777777" w:rsidR="00763A01" w:rsidRPr="00763A01" w:rsidRDefault="00763A01">
      <w:pPr>
        <w:numPr>
          <w:ilvl w:val="0"/>
          <w:numId w:val="3"/>
        </w:numPr>
        <w:spacing w:after="0" w:line="240" w:lineRule="auto"/>
      </w:pPr>
      <w:r w:rsidRPr="00763A01">
        <w:t xml:space="preserve">Créer une </w:t>
      </w:r>
      <w:r w:rsidRPr="00763A01">
        <w:rPr>
          <w:b/>
          <w:bCs/>
        </w:rPr>
        <w:t>maîtrise d’ouvrage unique et compétente</w:t>
      </w:r>
      <w:r w:rsidRPr="00763A01">
        <w:t>.</w:t>
      </w:r>
    </w:p>
    <w:p w14:paraId="04E49CCF" w14:textId="77777777" w:rsidR="00763A01" w:rsidRPr="00763A01" w:rsidRDefault="00763A01">
      <w:pPr>
        <w:numPr>
          <w:ilvl w:val="0"/>
          <w:numId w:val="3"/>
        </w:numPr>
        <w:spacing w:after="0" w:line="240" w:lineRule="auto"/>
      </w:pPr>
      <w:r w:rsidRPr="00763A01">
        <w:t xml:space="preserve">Intégrer des </w:t>
      </w:r>
      <w:r w:rsidRPr="00763A01">
        <w:rPr>
          <w:b/>
          <w:bCs/>
        </w:rPr>
        <w:t>approches agiles et itératives</w:t>
      </w:r>
      <w:r w:rsidRPr="00763A01">
        <w:t>.</w:t>
      </w:r>
    </w:p>
    <w:p w14:paraId="51606845" w14:textId="77777777" w:rsidR="00763A01" w:rsidRPr="00763A01" w:rsidRDefault="00763A01">
      <w:pPr>
        <w:numPr>
          <w:ilvl w:val="0"/>
          <w:numId w:val="3"/>
        </w:numPr>
        <w:spacing w:after="0" w:line="240" w:lineRule="auto"/>
      </w:pPr>
      <w:r w:rsidRPr="00763A01">
        <w:t xml:space="preserve">Généraliser les </w:t>
      </w:r>
      <w:r w:rsidRPr="00763A01">
        <w:rPr>
          <w:b/>
          <w:bCs/>
        </w:rPr>
        <w:t>évaluations ex ante et ex post</w:t>
      </w:r>
      <w:r w:rsidRPr="00763A01">
        <w:t>.</w:t>
      </w:r>
    </w:p>
    <w:p w14:paraId="7A8D0C4F" w14:textId="77777777" w:rsidR="00763A01" w:rsidRPr="00763A01" w:rsidRDefault="00763A01">
      <w:pPr>
        <w:numPr>
          <w:ilvl w:val="0"/>
          <w:numId w:val="3"/>
        </w:numPr>
        <w:spacing w:after="0" w:line="240" w:lineRule="auto"/>
      </w:pPr>
      <w:r w:rsidRPr="00763A01">
        <w:lastRenderedPageBreak/>
        <w:t xml:space="preserve">Développer la </w:t>
      </w:r>
      <w:r w:rsidRPr="00763A01">
        <w:rPr>
          <w:b/>
          <w:bCs/>
        </w:rPr>
        <w:t>formation des cadres numériques publics</w:t>
      </w:r>
      <w:r w:rsidRPr="00763A01">
        <w:t>.</w:t>
      </w:r>
    </w:p>
    <w:p w14:paraId="4A614F6F" w14:textId="77777777" w:rsidR="00EF0131" w:rsidRDefault="00763A01" w:rsidP="00EF0131">
      <w:pPr>
        <w:spacing w:after="0" w:line="240" w:lineRule="auto"/>
      </w:pPr>
      <w:r w:rsidRPr="00763A01">
        <w:rPr>
          <w:rFonts w:ascii="Segoe UI Emoji" w:hAnsi="Segoe UI Emoji" w:cs="Segoe UI Emoji"/>
        </w:rPr>
        <w:t>📘 La DINUM contribue à la coordination et au pilotage numérique interministériels</w:t>
      </w:r>
      <w:r w:rsidR="00EF0131">
        <w:rPr>
          <w:rFonts w:ascii="Segoe UI Emoji" w:hAnsi="Segoe UI Emoji" w:cs="Segoe UI Emoji"/>
        </w:rPr>
        <w:t> ;</w:t>
      </w:r>
      <w:r w:rsidRPr="00763A01">
        <w:rPr>
          <w:rFonts w:ascii="Segoe UI Emoji" w:hAnsi="Segoe UI Emoji" w:cs="Segoe UI Emoji"/>
        </w:rPr>
        <w:t xml:space="preserve"> la création d’une structure ne suffit cependant pas à démontrer l’efficacité de chaque projet.</w:t>
      </w:r>
    </w:p>
    <w:p w14:paraId="3AD35C85" w14:textId="1A04EF69" w:rsidR="00BE5F53" w:rsidRDefault="00000000" w:rsidP="00EF0131">
      <w:pPr>
        <w:spacing w:after="0" w:line="240" w:lineRule="auto"/>
      </w:pPr>
      <w:r>
        <w:rPr>
          <w:i/>
        </w:rPr>
        <w:t>Les trois illustrations d’entreprise ci-après (assurance, services numériques et plateforme) sont fictives</w:t>
      </w:r>
      <w:r w:rsidR="00EF0131">
        <w:rPr>
          <w:i/>
        </w:rPr>
        <w:t> :</w:t>
      </w:r>
      <w:r>
        <w:rPr>
          <w:i/>
        </w:rPr>
        <w:t xml:space="preserve"> les volumes et pourcentages de leurs tableaux sont des hypothèses de travail.</w:t>
      </w:r>
    </w:p>
    <w:p w14:paraId="59912A90" w14:textId="12B838EB" w:rsidR="00763A01" w:rsidRPr="00763A01" w:rsidRDefault="00763A01" w:rsidP="00EF0131">
      <w:pPr>
        <w:spacing w:after="0" w:line="240" w:lineRule="auto"/>
        <w:rPr>
          <w:b/>
          <w:bCs/>
        </w:rPr>
      </w:pPr>
      <w:r w:rsidRPr="00763A01">
        <w:rPr>
          <w:rFonts w:ascii="Segoe UI Emoji" w:hAnsi="Segoe UI Emoji" w:cs="Segoe UI Emoji"/>
          <w:b/>
          <w:bCs/>
        </w:rPr>
        <w:t>🧩 2. Illustration fictive</w:t>
      </w:r>
      <w:r w:rsidR="00EF0131">
        <w:rPr>
          <w:rFonts w:ascii="Segoe UI Emoji" w:hAnsi="Segoe UI Emoji" w:cs="Segoe UI Emoji"/>
          <w:b/>
          <w:bCs/>
        </w:rPr>
        <w:t> :</w:t>
      </w:r>
      <w:r w:rsidRPr="00763A01">
        <w:rPr>
          <w:rFonts w:ascii="Segoe UI Emoji" w:hAnsi="Segoe UI Emoji" w:cs="Segoe UI Emoji"/>
          <w:b/>
          <w:bCs/>
        </w:rPr>
        <w:t xml:space="preserve"> urbanisation d’un SI de groupe d’assurance</w:t>
      </w:r>
    </w:p>
    <w:p w14:paraId="311AC4C2" w14:textId="77777777" w:rsidR="00763A01" w:rsidRPr="00763A01" w:rsidRDefault="00763A01" w:rsidP="00EF0131">
      <w:pPr>
        <w:spacing w:after="0" w:line="240" w:lineRule="auto"/>
        <w:rPr>
          <w:b/>
          <w:bCs/>
        </w:rPr>
      </w:pPr>
      <w:r w:rsidRPr="00763A01">
        <w:rPr>
          <w:rFonts w:ascii="Segoe UI Emoji" w:hAnsi="Segoe UI Emoji" w:cs="Segoe UI Emoji"/>
          <w:b/>
          <w:bCs/>
        </w:rPr>
        <w:t>📘</w:t>
      </w:r>
      <w:r w:rsidRPr="00763A01">
        <w:rPr>
          <w:b/>
          <w:bCs/>
        </w:rPr>
        <w:t xml:space="preserve"> Contexte</w:t>
      </w:r>
    </w:p>
    <w:p w14:paraId="6AFB1646" w14:textId="167257CE" w:rsidR="00763A01" w:rsidRPr="00763A01" w:rsidRDefault="00763A01" w:rsidP="00EF0131">
      <w:pPr>
        <w:spacing w:after="0" w:line="240" w:lineRule="auto"/>
      </w:pPr>
      <w:r w:rsidRPr="00763A01">
        <w:t>Dans ce cas pédagogique inventé, un groupe d’assurance multinational décide de restructurer son portefeuille applicatif afin de</w:t>
      </w:r>
      <w:r w:rsidR="00EF0131">
        <w:t> :</w:t>
      </w:r>
    </w:p>
    <w:p w14:paraId="3D92666E" w14:textId="77777777" w:rsidR="00763A01" w:rsidRPr="00763A01" w:rsidRDefault="00763A01">
      <w:pPr>
        <w:numPr>
          <w:ilvl w:val="0"/>
          <w:numId w:val="4"/>
        </w:numPr>
        <w:spacing w:after="0" w:line="240" w:lineRule="auto"/>
      </w:pPr>
      <w:r w:rsidRPr="00763A01">
        <w:t>rationaliser ses applications,</w:t>
      </w:r>
    </w:p>
    <w:p w14:paraId="34704C20" w14:textId="77777777" w:rsidR="00763A01" w:rsidRPr="00763A01" w:rsidRDefault="00763A01">
      <w:pPr>
        <w:numPr>
          <w:ilvl w:val="0"/>
          <w:numId w:val="4"/>
        </w:numPr>
        <w:spacing w:after="0" w:line="240" w:lineRule="auto"/>
      </w:pPr>
      <w:r w:rsidRPr="00763A01">
        <w:t>harmoniser les processus,</w:t>
      </w:r>
    </w:p>
    <w:p w14:paraId="53252A03" w14:textId="77777777" w:rsidR="00763A01" w:rsidRPr="00763A01" w:rsidRDefault="00763A01">
      <w:pPr>
        <w:numPr>
          <w:ilvl w:val="0"/>
          <w:numId w:val="4"/>
        </w:numPr>
        <w:spacing w:after="0" w:line="240" w:lineRule="auto"/>
      </w:pPr>
      <w:r w:rsidRPr="00763A01">
        <w:t>et renforcer la sécurité des données.</w:t>
      </w:r>
    </w:p>
    <w:p w14:paraId="53C98C61" w14:textId="77777777" w:rsidR="00763A01" w:rsidRPr="00763A01" w:rsidRDefault="00763A01" w:rsidP="00EF0131">
      <w:pPr>
        <w:spacing w:after="0" w:line="240" w:lineRule="auto"/>
        <w:rPr>
          <w:b/>
          <w:bCs/>
        </w:rPr>
      </w:pPr>
      <w:r w:rsidRPr="00763A01">
        <w:rPr>
          <w:rFonts w:ascii="Segoe UI Emoji" w:hAnsi="Segoe UI Emoji" w:cs="Segoe UI Emoji"/>
          <w:b/>
          <w:bCs/>
        </w:rPr>
        <w:t>⚙️</w:t>
      </w:r>
      <w:r w:rsidRPr="00763A01">
        <w:rPr>
          <w:b/>
          <w:bCs/>
        </w:rPr>
        <w:t xml:space="preserve"> Principales actions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74"/>
        <w:gridCol w:w="4094"/>
        <w:gridCol w:w="3788"/>
      </w:tblGrid>
      <w:tr w:rsidR="00763A01" w:rsidRPr="00EF0131" w14:paraId="63CA0653" w14:textId="77777777" w:rsidTr="00EF0131">
        <w:trPr>
          <w:tblHeader/>
        </w:trPr>
        <w:tc>
          <w:tcPr>
            <w:tcW w:w="0" w:type="auto"/>
            <w:hideMark/>
          </w:tcPr>
          <w:p w14:paraId="761B5687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Axe de transformation</w:t>
            </w:r>
          </w:p>
        </w:tc>
        <w:tc>
          <w:tcPr>
            <w:tcW w:w="0" w:type="auto"/>
            <w:hideMark/>
          </w:tcPr>
          <w:p w14:paraId="11D36B76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Mesure mise en œuvre</w:t>
            </w:r>
          </w:p>
        </w:tc>
        <w:tc>
          <w:tcPr>
            <w:tcW w:w="0" w:type="auto"/>
            <w:hideMark/>
          </w:tcPr>
          <w:p w14:paraId="76CE4F6D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Résultats</w:t>
            </w:r>
          </w:p>
        </w:tc>
      </w:tr>
      <w:tr w:rsidR="00763A01" w:rsidRPr="00EF0131" w14:paraId="45CCD64A" w14:textId="77777777" w:rsidTr="00EF0131">
        <w:tc>
          <w:tcPr>
            <w:tcW w:w="0" w:type="auto"/>
            <w:hideMark/>
          </w:tcPr>
          <w:p w14:paraId="58619690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Cartographie complète du SI</w:t>
            </w:r>
          </w:p>
        </w:tc>
        <w:tc>
          <w:tcPr>
            <w:tcW w:w="0" w:type="auto"/>
            <w:hideMark/>
          </w:tcPr>
          <w:p w14:paraId="32D9E82E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Inventaire de 4 500 applications.</w:t>
            </w:r>
          </w:p>
        </w:tc>
        <w:tc>
          <w:tcPr>
            <w:tcW w:w="0" w:type="auto"/>
            <w:hideMark/>
          </w:tcPr>
          <w:p w14:paraId="6CAD0CB1" w14:textId="3ACCD778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Suppression de 30</w:t>
            </w:r>
            <w:r w:rsidR="00EF0131" w:rsidRPr="00EF0131">
              <w:rPr>
                <w:rFonts w:ascii="Calibri" w:hAnsi="Calibri" w:cs="Calibri"/>
                <w:sz w:val="20"/>
              </w:rPr>
              <w:t> %</w:t>
            </w:r>
            <w:r w:rsidRPr="00EF0131">
              <w:rPr>
                <w:rFonts w:ascii="Calibri" w:hAnsi="Calibri" w:cs="Calibri"/>
                <w:sz w:val="20"/>
              </w:rPr>
              <w:t xml:space="preserve"> d’applications redondantes.</w:t>
            </w:r>
          </w:p>
        </w:tc>
      </w:tr>
      <w:tr w:rsidR="00763A01" w:rsidRPr="00EF0131" w14:paraId="7BF1FFDD" w14:textId="77777777" w:rsidTr="00EF0131">
        <w:tc>
          <w:tcPr>
            <w:tcW w:w="0" w:type="auto"/>
            <w:hideMark/>
          </w:tcPr>
          <w:p w14:paraId="5E45B59D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Mise en place d’un ERP unique</w:t>
            </w:r>
          </w:p>
        </w:tc>
        <w:tc>
          <w:tcPr>
            <w:tcW w:w="0" w:type="auto"/>
            <w:hideMark/>
          </w:tcPr>
          <w:p w14:paraId="335534FB" w14:textId="56CF4BE2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Adoption de SAP pour 80</w:t>
            </w:r>
            <w:r w:rsidR="00EF0131" w:rsidRPr="00EF0131">
              <w:rPr>
                <w:rFonts w:ascii="Calibri" w:hAnsi="Calibri" w:cs="Calibri"/>
                <w:sz w:val="20"/>
              </w:rPr>
              <w:t> %</w:t>
            </w:r>
            <w:r w:rsidRPr="00EF0131">
              <w:rPr>
                <w:rFonts w:ascii="Calibri" w:hAnsi="Calibri" w:cs="Calibri"/>
                <w:sz w:val="20"/>
              </w:rPr>
              <w:t xml:space="preserve"> des fonctions financières.</w:t>
            </w:r>
          </w:p>
        </w:tc>
        <w:tc>
          <w:tcPr>
            <w:tcW w:w="0" w:type="auto"/>
            <w:hideMark/>
          </w:tcPr>
          <w:p w14:paraId="66DE5F11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Standardisation mondiale.</w:t>
            </w:r>
          </w:p>
        </w:tc>
      </w:tr>
      <w:tr w:rsidR="00763A01" w:rsidRPr="00EF0131" w14:paraId="7BFB2865" w14:textId="77777777" w:rsidTr="00EF0131">
        <w:tc>
          <w:tcPr>
            <w:tcW w:w="0" w:type="auto"/>
            <w:hideMark/>
          </w:tcPr>
          <w:p w14:paraId="0DF1C8AF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Gouvernance renforcée</w:t>
            </w:r>
          </w:p>
        </w:tc>
        <w:tc>
          <w:tcPr>
            <w:tcW w:w="0" w:type="auto"/>
            <w:hideMark/>
          </w:tcPr>
          <w:p w14:paraId="0FAC9DBF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Création d’un comité d’urbanisation global.</w:t>
            </w:r>
          </w:p>
        </w:tc>
        <w:tc>
          <w:tcPr>
            <w:tcW w:w="0" w:type="auto"/>
            <w:hideMark/>
          </w:tcPr>
          <w:p w14:paraId="6C2C5664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Vision SI partagée entre filiales.</w:t>
            </w:r>
          </w:p>
        </w:tc>
      </w:tr>
      <w:tr w:rsidR="00763A01" w:rsidRPr="00EF0131" w14:paraId="6F85D265" w14:textId="77777777" w:rsidTr="00EF0131">
        <w:tc>
          <w:tcPr>
            <w:tcW w:w="0" w:type="auto"/>
            <w:hideMark/>
          </w:tcPr>
          <w:p w14:paraId="6D49A473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Sécurité et conformité</w:t>
            </w:r>
          </w:p>
        </w:tc>
        <w:tc>
          <w:tcPr>
            <w:tcW w:w="0" w:type="auto"/>
            <w:hideMark/>
          </w:tcPr>
          <w:p w14:paraId="3D36B010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ISO 27001 et RGPD implémentés.</w:t>
            </w:r>
          </w:p>
        </w:tc>
        <w:tc>
          <w:tcPr>
            <w:tcW w:w="0" w:type="auto"/>
            <w:hideMark/>
          </w:tcPr>
          <w:p w14:paraId="760D1905" w14:textId="1590896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Réduction des incidents critiques de 45</w:t>
            </w:r>
            <w:r w:rsidR="00EF0131" w:rsidRPr="00EF0131">
              <w:rPr>
                <w:rFonts w:ascii="Calibri" w:hAnsi="Calibri" w:cs="Calibri"/>
                <w:sz w:val="20"/>
              </w:rPr>
              <w:t> %</w:t>
            </w:r>
            <w:r w:rsidRPr="00EF0131">
              <w:rPr>
                <w:rFonts w:ascii="Calibri" w:hAnsi="Calibri" w:cs="Calibri"/>
                <w:sz w:val="20"/>
              </w:rPr>
              <w:t>.</w:t>
            </w:r>
          </w:p>
        </w:tc>
      </w:tr>
    </w:tbl>
    <w:p w14:paraId="030AFA05" w14:textId="77777777" w:rsidR="00EF0131" w:rsidRDefault="00763A01" w:rsidP="00EF0131">
      <w:pPr>
        <w:spacing w:after="0" w:line="240" w:lineRule="auto"/>
      </w:pPr>
      <w:r w:rsidRPr="00763A01">
        <w:rPr>
          <w:rFonts w:ascii="Segoe UI Emoji" w:hAnsi="Segoe UI Emoji" w:cs="Segoe UI Emoji"/>
        </w:rPr>
        <w:t>💡 Les actions et résultats du tableau décrivent un scénario hypothétique</w:t>
      </w:r>
      <w:r w:rsidR="00EF0131">
        <w:rPr>
          <w:rFonts w:ascii="Segoe UI Emoji" w:hAnsi="Segoe UI Emoji" w:cs="Segoe UI Emoji"/>
        </w:rPr>
        <w:t> ;</w:t>
      </w:r>
      <w:r w:rsidRPr="00763A01">
        <w:rPr>
          <w:rFonts w:ascii="Segoe UI Emoji" w:hAnsi="Segoe UI Emoji" w:cs="Segoe UI Emoji"/>
        </w:rPr>
        <w:t xml:space="preserve"> leur intérêt est de discuter les conditions de réussite et les indicateurs nécessaires pour les vérifier.</w:t>
      </w:r>
    </w:p>
    <w:p w14:paraId="6DE9358B" w14:textId="12312952" w:rsidR="00763A01" w:rsidRPr="00763A01" w:rsidRDefault="00763A01" w:rsidP="00EF0131">
      <w:pPr>
        <w:spacing w:after="0" w:line="240" w:lineRule="auto"/>
        <w:rPr>
          <w:b/>
          <w:bCs/>
        </w:rPr>
      </w:pPr>
      <w:r w:rsidRPr="00763A01">
        <w:rPr>
          <w:rFonts w:ascii="Segoe UI Emoji" w:hAnsi="Segoe UI Emoji" w:cs="Segoe UI Emoji"/>
          <w:b/>
          <w:bCs/>
        </w:rPr>
        <w:t>🧮 3. Illustration fictive</w:t>
      </w:r>
      <w:r w:rsidR="00EF0131">
        <w:rPr>
          <w:rFonts w:ascii="Segoe UI Emoji" w:hAnsi="Segoe UI Emoji" w:cs="Segoe UI Emoji"/>
          <w:b/>
          <w:bCs/>
        </w:rPr>
        <w:t> :</w:t>
      </w:r>
      <w:r w:rsidRPr="00763A01">
        <w:rPr>
          <w:rFonts w:ascii="Segoe UI Emoji" w:hAnsi="Segoe UI Emoji" w:cs="Segoe UI Emoji"/>
          <w:b/>
          <w:bCs/>
        </w:rPr>
        <w:t xml:space="preserve"> transformation DevOps d’un prestataire de services numériques</w:t>
      </w:r>
    </w:p>
    <w:p w14:paraId="26B812A1" w14:textId="77777777" w:rsidR="00763A01" w:rsidRPr="00763A01" w:rsidRDefault="00763A01" w:rsidP="00EF0131">
      <w:pPr>
        <w:spacing w:after="0" w:line="240" w:lineRule="auto"/>
        <w:rPr>
          <w:b/>
          <w:bCs/>
        </w:rPr>
      </w:pPr>
      <w:r w:rsidRPr="00763A01">
        <w:rPr>
          <w:rFonts w:ascii="Segoe UI Emoji" w:hAnsi="Segoe UI Emoji" w:cs="Segoe UI Emoji"/>
          <w:b/>
          <w:bCs/>
        </w:rPr>
        <w:t>📘</w:t>
      </w:r>
      <w:r w:rsidRPr="00763A01">
        <w:rPr>
          <w:b/>
          <w:bCs/>
        </w:rPr>
        <w:t xml:space="preserve"> Contexte</w:t>
      </w:r>
    </w:p>
    <w:p w14:paraId="7EAF6B26" w14:textId="77777777" w:rsidR="00763A01" w:rsidRPr="00763A01" w:rsidRDefault="00763A01" w:rsidP="00EF0131">
      <w:pPr>
        <w:spacing w:after="0" w:line="240" w:lineRule="auto"/>
      </w:pPr>
      <w:r w:rsidRPr="00763A01">
        <w:t>Un prestataire fictif de services numériques souhaite accélérer les livraisons tout en préservant la qualité et la sécurité.</w:t>
      </w:r>
    </w:p>
    <w:p w14:paraId="2AAE87A5" w14:textId="77777777" w:rsidR="00763A01" w:rsidRPr="00763A01" w:rsidRDefault="00763A01" w:rsidP="00EF0131">
      <w:pPr>
        <w:spacing w:after="0" w:line="240" w:lineRule="auto"/>
        <w:rPr>
          <w:b/>
          <w:bCs/>
        </w:rPr>
      </w:pPr>
      <w:r w:rsidRPr="00763A01">
        <w:rPr>
          <w:rFonts w:ascii="Segoe UI Emoji" w:hAnsi="Segoe UI Emoji" w:cs="Segoe UI Emoji"/>
          <w:b/>
          <w:bCs/>
        </w:rPr>
        <w:t>⚙️</w:t>
      </w:r>
      <w:r w:rsidRPr="00763A01">
        <w:rPr>
          <w:b/>
          <w:bCs/>
        </w:rPr>
        <w:t xml:space="preserve"> Mise en œuvre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36"/>
        <w:gridCol w:w="4660"/>
        <w:gridCol w:w="3860"/>
      </w:tblGrid>
      <w:tr w:rsidR="00763A01" w:rsidRPr="00EF0131" w14:paraId="507FF69C" w14:textId="77777777" w:rsidTr="00EF0131">
        <w:trPr>
          <w:tblHeader/>
        </w:trPr>
        <w:tc>
          <w:tcPr>
            <w:tcW w:w="0" w:type="auto"/>
            <w:hideMark/>
          </w:tcPr>
          <w:p w14:paraId="04967BB8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Domaine</w:t>
            </w:r>
          </w:p>
        </w:tc>
        <w:tc>
          <w:tcPr>
            <w:tcW w:w="0" w:type="auto"/>
            <w:hideMark/>
          </w:tcPr>
          <w:p w14:paraId="1C14ECDB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Action</w:t>
            </w:r>
          </w:p>
        </w:tc>
        <w:tc>
          <w:tcPr>
            <w:tcW w:w="0" w:type="auto"/>
            <w:hideMark/>
          </w:tcPr>
          <w:p w14:paraId="69CF4B13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Résultat</w:t>
            </w:r>
          </w:p>
        </w:tc>
      </w:tr>
      <w:tr w:rsidR="00763A01" w:rsidRPr="00EF0131" w14:paraId="68A2CBCC" w14:textId="77777777" w:rsidTr="00EF0131">
        <w:tc>
          <w:tcPr>
            <w:tcW w:w="0" w:type="auto"/>
            <w:hideMark/>
          </w:tcPr>
          <w:p w14:paraId="5824AF4A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Méthodes de travail</w:t>
            </w:r>
          </w:p>
        </w:tc>
        <w:tc>
          <w:tcPr>
            <w:tcW w:w="0" w:type="auto"/>
            <w:hideMark/>
          </w:tcPr>
          <w:p w14:paraId="126583F3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Passage à l’agilité à l’échelle (SAFe) et mise en place de DevOps.</w:t>
            </w:r>
          </w:p>
        </w:tc>
        <w:tc>
          <w:tcPr>
            <w:tcW w:w="0" w:type="auto"/>
            <w:hideMark/>
          </w:tcPr>
          <w:p w14:paraId="5B83C17D" w14:textId="7D6A1E78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80</w:t>
            </w:r>
            <w:r w:rsidR="00EF0131" w:rsidRPr="00EF0131">
              <w:rPr>
                <w:rFonts w:ascii="Calibri" w:hAnsi="Calibri" w:cs="Calibri"/>
                <w:sz w:val="20"/>
              </w:rPr>
              <w:t> %</w:t>
            </w:r>
            <w:r w:rsidRPr="00EF0131">
              <w:rPr>
                <w:rFonts w:ascii="Calibri" w:hAnsi="Calibri" w:cs="Calibri"/>
                <w:sz w:val="20"/>
              </w:rPr>
              <w:t xml:space="preserve"> des projets livrés en sprints de 2 à 3 semaines.</w:t>
            </w:r>
          </w:p>
        </w:tc>
      </w:tr>
      <w:tr w:rsidR="00763A01" w:rsidRPr="00EF0131" w14:paraId="3F1E75C7" w14:textId="77777777" w:rsidTr="00EF0131">
        <w:tc>
          <w:tcPr>
            <w:tcW w:w="0" w:type="auto"/>
            <w:hideMark/>
          </w:tcPr>
          <w:p w14:paraId="487146D2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Automatisation CI/CD</w:t>
            </w:r>
          </w:p>
        </w:tc>
        <w:tc>
          <w:tcPr>
            <w:tcW w:w="0" w:type="auto"/>
            <w:hideMark/>
          </w:tcPr>
          <w:p w14:paraId="3CB6CDD7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GitLab + Kubernetes + Jenkins.</w:t>
            </w:r>
          </w:p>
        </w:tc>
        <w:tc>
          <w:tcPr>
            <w:tcW w:w="0" w:type="auto"/>
            <w:hideMark/>
          </w:tcPr>
          <w:p w14:paraId="4C038BFE" w14:textId="4253F334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Temps de déploiement réduit de 60</w:t>
            </w:r>
            <w:r w:rsidR="00EF0131" w:rsidRPr="00EF0131">
              <w:rPr>
                <w:rFonts w:ascii="Calibri" w:hAnsi="Calibri" w:cs="Calibri"/>
                <w:sz w:val="20"/>
              </w:rPr>
              <w:t> %</w:t>
            </w:r>
            <w:r w:rsidRPr="00EF0131">
              <w:rPr>
                <w:rFonts w:ascii="Calibri" w:hAnsi="Calibri" w:cs="Calibri"/>
                <w:sz w:val="20"/>
              </w:rPr>
              <w:t>.</w:t>
            </w:r>
          </w:p>
        </w:tc>
      </w:tr>
      <w:tr w:rsidR="00763A01" w:rsidRPr="00EF0131" w14:paraId="2EC0F7BC" w14:textId="77777777" w:rsidTr="00EF0131">
        <w:tc>
          <w:tcPr>
            <w:tcW w:w="0" w:type="auto"/>
            <w:hideMark/>
          </w:tcPr>
          <w:p w14:paraId="0E99195B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Surveillance continue</w:t>
            </w:r>
          </w:p>
        </w:tc>
        <w:tc>
          <w:tcPr>
            <w:tcW w:w="0" w:type="auto"/>
            <w:hideMark/>
          </w:tcPr>
          <w:p w14:paraId="226E652B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Grafana + Prometheus pour le monitoring.</w:t>
            </w:r>
          </w:p>
        </w:tc>
        <w:tc>
          <w:tcPr>
            <w:tcW w:w="0" w:type="auto"/>
            <w:hideMark/>
          </w:tcPr>
          <w:p w14:paraId="002BE370" w14:textId="5BA7C9BF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Diminution de 50</w:t>
            </w:r>
            <w:r w:rsidR="00EF0131" w:rsidRPr="00EF0131">
              <w:rPr>
                <w:rFonts w:ascii="Calibri" w:hAnsi="Calibri" w:cs="Calibri"/>
                <w:sz w:val="20"/>
              </w:rPr>
              <w:t> %</w:t>
            </w:r>
            <w:r w:rsidRPr="00EF0131">
              <w:rPr>
                <w:rFonts w:ascii="Calibri" w:hAnsi="Calibri" w:cs="Calibri"/>
                <w:sz w:val="20"/>
              </w:rPr>
              <w:t xml:space="preserve"> des incidents en production.</w:t>
            </w:r>
          </w:p>
        </w:tc>
      </w:tr>
      <w:tr w:rsidR="00763A01" w:rsidRPr="00EF0131" w14:paraId="21137681" w14:textId="77777777" w:rsidTr="00EF0131">
        <w:tc>
          <w:tcPr>
            <w:tcW w:w="0" w:type="auto"/>
            <w:hideMark/>
          </w:tcPr>
          <w:p w14:paraId="3BECBC0B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Culture interne</w:t>
            </w:r>
          </w:p>
        </w:tc>
        <w:tc>
          <w:tcPr>
            <w:tcW w:w="0" w:type="auto"/>
            <w:hideMark/>
          </w:tcPr>
          <w:p w14:paraId="03F6C492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Formation de 2 000 collaborateurs au DevOps.</w:t>
            </w:r>
          </w:p>
        </w:tc>
        <w:tc>
          <w:tcPr>
            <w:tcW w:w="0" w:type="auto"/>
            <w:hideMark/>
          </w:tcPr>
          <w:p w14:paraId="2CDFCEF6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Collaboration renforcée Dev/Ops.</w:t>
            </w:r>
          </w:p>
        </w:tc>
      </w:tr>
    </w:tbl>
    <w:p w14:paraId="7459879B" w14:textId="77777777" w:rsidR="00EF0131" w:rsidRDefault="00763A01" w:rsidP="00EF0131">
      <w:pPr>
        <w:spacing w:after="0" w:line="240" w:lineRule="auto"/>
      </w:pPr>
      <w:r w:rsidRPr="00763A01">
        <w:rPr>
          <w:rFonts w:ascii="Segoe UI Emoji" w:hAnsi="Segoe UI Emoji" w:cs="Segoe UI Emoji"/>
        </w:rPr>
        <w:t>💬 Les résultats du tableau sont des hypothèses d’exercice. Pour conclure à une amélioration réelle, il faudrait des mesures avant/après et une description des conditions de déploiement.</w:t>
      </w:r>
    </w:p>
    <w:p w14:paraId="393C7833" w14:textId="57265361" w:rsidR="00763A01" w:rsidRPr="00763A01" w:rsidRDefault="00763A01" w:rsidP="00EF0131">
      <w:pPr>
        <w:spacing w:after="0" w:line="240" w:lineRule="auto"/>
        <w:rPr>
          <w:b/>
          <w:bCs/>
        </w:rPr>
      </w:pPr>
      <w:r w:rsidRPr="00763A01">
        <w:rPr>
          <w:rFonts w:ascii="Segoe UI Emoji" w:hAnsi="Segoe UI Emoji" w:cs="Segoe UI Emoji"/>
          <w:b/>
          <w:bCs/>
        </w:rPr>
        <w:t>📊</w:t>
      </w:r>
      <w:r w:rsidRPr="00763A01">
        <w:rPr>
          <w:b/>
          <w:bCs/>
        </w:rPr>
        <w:t xml:space="preserve"> 4. Étude de cas</w:t>
      </w:r>
      <w:r w:rsidR="00EF0131">
        <w:rPr>
          <w:b/>
          <w:bCs/>
        </w:rPr>
        <w:t> :</w:t>
      </w:r>
      <w:r w:rsidRPr="00763A01">
        <w:rPr>
          <w:b/>
          <w:bCs/>
        </w:rPr>
        <w:t xml:space="preserve"> échec du projet Louvois (Ministère des Armées)</w:t>
      </w:r>
    </w:p>
    <w:p w14:paraId="5FDC182A" w14:textId="77777777" w:rsidR="00763A01" w:rsidRPr="00763A01" w:rsidRDefault="00763A01" w:rsidP="00EF0131">
      <w:pPr>
        <w:spacing w:after="0" w:line="240" w:lineRule="auto"/>
        <w:rPr>
          <w:b/>
          <w:bCs/>
        </w:rPr>
      </w:pPr>
      <w:r w:rsidRPr="00763A01">
        <w:rPr>
          <w:rFonts w:ascii="Segoe UI Emoji" w:hAnsi="Segoe UI Emoji" w:cs="Segoe UI Emoji"/>
          <w:b/>
          <w:bCs/>
        </w:rPr>
        <w:t>📘</w:t>
      </w:r>
      <w:r w:rsidRPr="00763A01">
        <w:rPr>
          <w:b/>
          <w:bCs/>
        </w:rPr>
        <w:t xml:space="preserve"> Contexte</w:t>
      </w:r>
    </w:p>
    <w:p w14:paraId="1997E2B8" w14:textId="77777777" w:rsidR="00763A01" w:rsidRDefault="00763A01" w:rsidP="00EF0131">
      <w:pPr>
        <w:spacing w:after="0" w:line="240" w:lineRule="auto"/>
      </w:pPr>
      <w:r w:rsidRPr="00763A01">
        <w:t>Le système Louvois (Logiciel unique à vocation interarmées de la solde) concernait le calcul des soldes d’environ 180 000 militaires selon la Cour des comptes (rapport public annuel 2016).</w:t>
      </w:r>
    </w:p>
    <w:p w14:paraId="72E1700D" w14:textId="6D97903E" w:rsidR="00763A01" w:rsidRPr="00763A01" w:rsidRDefault="00763A01" w:rsidP="00EF0131">
      <w:pPr>
        <w:spacing w:after="0" w:line="240" w:lineRule="auto"/>
      </w:pPr>
      <w:r w:rsidRPr="00763A01">
        <w:t>Mis en service à partir de 2011, le calculateur a provoqué des dysfonctionnements durables. Son remplacement a été organisé progressivement</w:t>
      </w:r>
      <w:r w:rsidR="00EF0131">
        <w:t> ;</w:t>
      </w:r>
      <w:r w:rsidRPr="00763A01">
        <w:t xml:space="preserve"> il n’a pas simplement été </w:t>
      </w:r>
      <w:r w:rsidR="00EF0131">
        <w:t>« </w:t>
      </w:r>
      <w:r w:rsidRPr="00763A01">
        <w:t>abandonné en 2013</w:t>
      </w:r>
      <w:r w:rsidR="00EF0131">
        <w:t> »</w:t>
      </w:r>
      <w:r w:rsidRPr="00763A01">
        <w:t>.</w:t>
      </w:r>
    </w:p>
    <w:p w14:paraId="4D94A04D" w14:textId="77777777" w:rsidR="00763A01" w:rsidRPr="00763A01" w:rsidRDefault="00763A01" w:rsidP="00EF0131">
      <w:pPr>
        <w:spacing w:after="0" w:line="240" w:lineRule="auto"/>
        <w:rPr>
          <w:b/>
          <w:bCs/>
        </w:rPr>
      </w:pPr>
      <w:r w:rsidRPr="00763A01">
        <w:rPr>
          <w:rFonts w:ascii="Segoe UI Emoji" w:hAnsi="Segoe UI Emoji" w:cs="Segoe UI Emoji"/>
          <w:b/>
          <w:bCs/>
        </w:rPr>
        <w:t>⚠️</w:t>
      </w:r>
      <w:r w:rsidRPr="00763A01">
        <w:rPr>
          <w:b/>
          <w:bCs/>
        </w:rPr>
        <w:t xml:space="preserve"> Causes de l’échec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83"/>
        <w:gridCol w:w="5505"/>
      </w:tblGrid>
      <w:tr w:rsidR="00763A01" w:rsidRPr="00EF0131" w14:paraId="6B459B21" w14:textId="77777777" w:rsidTr="00EF0131">
        <w:trPr>
          <w:tblHeader/>
        </w:trPr>
        <w:tc>
          <w:tcPr>
            <w:tcW w:w="0" w:type="auto"/>
            <w:hideMark/>
          </w:tcPr>
          <w:p w14:paraId="59D6944B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Catégorie</w:t>
            </w:r>
          </w:p>
        </w:tc>
        <w:tc>
          <w:tcPr>
            <w:tcW w:w="0" w:type="auto"/>
            <w:hideMark/>
          </w:tcPr>
          <w:p w14:paraId="1803F7C9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Description</w:t>
            </w:r>
          </w:p>
        </w:tc>
      </w:tr>
      <w:tr w:rsidR="00763A01" w:rsidRPr="00EF0131" w14:paraId="31023BFC" w14:textId="77777777" w:rsidTr="00EF0131">
        <w:tc>
          <w:tcPr>
            <w:tcW w:w="0" w:type="auto"/>
            <w:hideMark/>
          </w:tcPr>
          <w:p w14:paraId="685D3B45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Technique</w:t>
            </w:r>
          </w:p>
        </w:tc>
        <w:tc>
          <w:tcPr>
            <w:tcW w:w="0" w:type="auto"/>
            <w:hideMark/>
          </w:tcPr>
          <w:p w14:paraId="5BB7B0B0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Complexité excessive du code, non-maîtrise des interfaces.</w:t>
            </w:r>
          </w:p>
        </w:tc>
      </w:tr>
      <w:tr w:rsidR="00763A01" w:rsidRPr="00EF0131" w14:paraId="6050A5C2" w14:textId="77777777" w:rsidTr="00EF0131">
        <w:tc>
          <w:tcPr>
            <w:tcW w:w="0" w:type="auto"/>
            <w:hideMark/>
          </w:tcPr>
          <w:p w14:paraId="3DC4098A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Organisationnelle</w:t>
            </w:r>
          </w:p>
        </w:tc>
        <w:tc>
          <w:tcPr>
            <w:tcW w:w="0" w:type="auto"/>
            <w:hideMark/>
          </w:tcPr>
          <w:p w14:paraId="24AEC88E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Absence de coordination entre MOA et MOE.</w:t>
            </w:r>
          </w:p>
        </w:tc>
      </w:tr>
      <w:tr w:rsidR="00763A01" w:rsidRPr="00EF0131" w14:paraId="54103236" w14:textId="77777777" w:rsidTr="00EF0131">
        <w:tc>
          <w:tcPr>
            <w:tcW w:w="0" w:type="auto"/>
            <w:hideMark/>
          </w:tcPr>
          <w:p w14:paraId="10F3E9D5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Humaine</w:t>
            </w:r>
          </w:p>
        </w:tc>
        <w:tc>
          <w:tcPr>
            <w:tcW w:w="0" w:type="auto"/>
            <w:hideMark/>
          </w:tcPr>
          <w:p w14:paraId="785E487F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Sous-évaluation des besoins de formation et d’accompagnement.</w:t>
            </w:r>
          </w:p>
        </w:tc>
      </w:tr>
      <w:tr w:rsidR="00763A01" w:rsidRPr="00EF0131" w14:paraId="5E6AFA5E" w14:textId="77777777" w:rsidTr="00EF0131">
        <w:tc>
          <w:tcPr>
            <w:tcW w:w="0" w:type="auto"/>
            <w:hideMark/>
          </w:tcPr>
          <w:p w14:paraId="0C63280C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Politique</w:t>
            </w:r>
          </w:p>
        </w:tc>
        <w:tc>
          <w:tcPr>
            <w:tcW w:w="0" w:type="auto"/>
            <w:hideMark/>
          </w:tcPr>
          <w:p w14:paraId="53041373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Pression pour livrer avant échéances budgétaires.</w:t>
            </w:r>
          </w:p>
        </w:tc>
      </w:tr>
    </w:tbl>
    <w:p w14:paraId="4913CEF3" w14:textId="77777777" w:rsidR="00763A01" w:rsidRPr="00763A01" w:rsidRDefault="00763A01" w:rsidP="00EF0131">
      <w:pPr>
        <w:spacing w:after="0" w:line="240" w:lineRule="auto"/>
        <w:rPr>
          <w:b/>
          <w:bCs/>
        </w:rPr>
      </w:pPr>
      <w:r w:rsidRPr="00763A01">
        <w:rPr>
          <w:rFonts w:ascii="Segoe UI Emoji" w:hAnsi="Segoe UI Emoji" w:cs="Segoe UI Emoji"/>
          <w:b/>
          <w:bCs/>
        </w:rPr>
        <w:t>📉</w:t>
      </w:r>
      <w:r w:rsidRPr="00763A01">
        <w:rPr>
          <w:b/>
          <w:bCs/>
        </w:rPr>
        <w:t xml:space="preserve"> Conséquences</w:t>
      </w:r>
    </w:p>
    <w:p w14:paraId="17F72236" w14:textId="221E4EA4" w:rsidR="00763A01" w:rsidRPr="00763A01" w:rsidRDefault="00763A01">
      <w:pPr>
        <w:numPr>
          <w:ilvl w:val="0"/>
          <w:numId w:val="5"/>
        </w:numPr>
        <w:spacing w:after="0" w:line="240" w:lineRule="auto"/>
      </w:pPr>
      <w:r w:rsidRPr="00763A01">
        <w:t>La Cour des comptes documente de nombreux trop-perçus et moins-perçus affectant les soldes</w:t>
      </w:r>
      <w:r w:rsidR="00EF0131">
        <w:t> ;</w:t>
      </w:r>
      <w:r w:rsidRPr="00763A01">
        <w:t xml:space="preserve"> le chiffre de 160 000 anomalies n’est pas retenu sans définition et période vérifiables.</w:t>
      </w:r>
    </w:p>
    <w:p w14:paraId="7EE83499" w14:textId="1E0FD70D" w:rsidR="00763A01" w:rsidRPr="00763A01" w:rsidRDefault="00763A01">
      <w:pPr>
        <w:numPr>
          <w:ilvl w:val="0"/>
          <w:numId w:val="5"/>
        </w:numPr>
        <w:spacing w:after="0" w:line="240" w:lineRule="auto"/>
      </w:pPr>
      <w:r w:rsidRPr="00763A01">
        <w:t>La Cour des comptes évalue les erreurs de calcul de Louvois à 465 M€ pour la seule année 2012</w:t>
      </w:r>
      <w:r w:rsidR="00EF0131">
        <w:t> ;</w:t>
      </w:r>
      <w:r w:rsidRPr="00763A01">
        <w:t xml:space="preserve"> ce montant ne doit pas être présenté comme le </w:t>
      </w:r>
      <w:r w:rsidR="00EF0131">
        <w:t>« </w:t>
      </w:r>
      <w:r w:rsidRPr="00763A01">
        <w:t>surcoût du projet</w:t>
      </w:r>
      <w:r w:rsidR="00EF0131">
        <w:t> »</w:t>
      </w:r>
      <w:r w:rsidRPr="00763A01">
        <w:t>.</w:t>
      </w:r>
    </w:p>
    <w:p w14:paraId="2D36E09F" w14:textId="77777777" w:rsidR="00763A01" w:rsidRPr="00763A01" w:rsidRDefault="00763A01">
      <w:pPr>
        <w:numPr>
          <w:ilvl w:val="0"/>
          <w:numId w:val="5"/>
        </w:numPr>
        <w:spacing w:after="0" w:line="240" w:lineRule="auto"/>
      </w:pPr>
      <w:r w:rsidRPr="00763A01">
        <w:lastRenderedPageBreak/>
        <w:t>Remplacement progressif par Source Solde, avec maintien d’une gestion des anomalies pendant la transition.</w:t>
      </w:r>
    </w:p>
    <w:p w14:paraId="005D8C7C" w14:textId="77777777" w:rsidR="00EF0131" w:rsidRDefault="00763A01" w:rsidP="00EF0131">
      <w:pPr>
        <w:spacing w:after="0" w:line="240" w:lineRule="auto"/>
      </w:pPr>
      <w:r w:rsidRPr="00763A01">
        <w:rPr>
          <w:rFonts w:ascii="Segoe UI Emoji" w:hAnsi="Segoe UI Emoji" w:cs="Segoe UI Emoji"/>
        </w:rPr>
        <w:t>💬</w:t>
      </w:r>
      <w:r w:rsidRPr="00763A01">
        <w:t xml:space="preserve"> Exemple emblématique d’un projet à </w:t>
      </w:r>
      <w:r w:rsidRPr="00763A01">
        <w:rPr>
          <w:b/>
          <w:bCs/>
        </w:rPr>
        <w:t>fort enjeu public</w:t>
      </w:r>
      <w:r w:rsidRPr="00763A01">
        <w:t>, mal gouverné et sous-estimé dans sa complexité humaine.</w:t>
      </w:r>
    </w:p>
    <w:p w14:paraId="5C1BCE90" w14:textId="29B42E36" w:rsidR="00763A01" w:rsidRPr="00763A01" w:rsidRDefault="00763A01" w:rsidP="00EF0131">
      <w:pPr>
        <w:spacing w:after="0" w:line="240" w:lineRule="auto"/>
        <w:rPr>
          <w:b/>
          <w:bCs/>
        </w:rPr>
      </w:pPr>
      <w:r w:rsidRPr="00763A01">
        <w:rPr>
          <w:rFonts w:ascii="Segoe UI Emoji" w:hAnsi="Segoe UI Emoji" w:cs="Segoe UI Emoji"/>
          <w:b/>
          <w:bCs/>
        </w:rPr>
        <w:t>🧠</w:t>
      </w:r>
      <w:r w:rsidRPr="00763A01">
        <w:rPr>
          <w:b/>
          <w:bCs/>
        </w:rPr>
        <w:t xml:space="preserve"> 5. Enseignements transversaux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16"/>
        <w:gridCol w:w="3642"/>
        <w:gridCol w:w="3967"/>
      </w:tblGrid>
      <w:tr w:rsidR="00763A01" w:rsidRPr="00EF0131" w14:paraId="18E0E8D3" w14:textId="77777777" w:rsidTr="00EF0131">
        <w:trPr>
          <w:tblHeader/>
        </w:trPr>
        <w:tc>
          <w:tcPr>
            <w:tcW w:w="0" w:type="auto"/>
            <w:hideMark/>
          </w:tcPr>
          <w:p w14:paraId="31D05610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Facteur</w:t>
            </w:r>
          </w:p>
        </w:tc>
        <w:tc>
          <w:tcPr>
            <w:tcW w:w="0" w:type="auto"/>
            <w:hideMark/>
          </w:tcPr>
          <w:p w14:paraId="20825EEF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Échecs observés</w:t>
            </w:r>
          </w:p>
        </w:tc>
        <w:tc>
          <w:tcPr>
            <w:tcW w:w="0" w:type="auto"/>
            <w:hideMark/>
          </w:tcPr>
          <w:p w14:paraId="4480B65D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Bonnes pratiques issues des réussites</w:t>
            </w:r>
          </w:p>
        </w:tc>
      </w:tr>
      <w:tr w:rsidR="00763A01" w:rsidRPr="00EF0131" w14:paraId="1B303E3B" w14:textId="77777777" w:rsidTr="00EF0131">
        <w:tc>
          <w:tcPr>
            <w:tcW w:w="0" w:type="auto"/>
            <w:hideMark/>
          </w:tcPr>
          <w:p w14:paraId="0750B4BB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Gouvernance</w:t>
            </w:r>
          </w:p>
        </w:tc>
        <w:tc>
          <w:tcPr>
            <w:tcW w:w="0" w:type="auto"/>
            <w:hideMark/>
          </w:tcPr>
          <w:p w14:paraId="3E3227C0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Multiplicité des acteurs, décisions tardives</w:t>
            </w:r>
          </w:p>
        </w:tc>
        <w:tc>
          <w:tcPr>
            <w:tcW w:w="0" w:type="auto"/>
            <w:hideMark/>
          </w:tcPr>
          <w:p w14:paraId="252BC4F9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Comités de pilotage unifiés, sponsor fort</w:t>
            </w:r>
          </w:p>
        </w:tc>
      </w:tr>
      <w:tr w:rsidR="00763A01" w:rsidRPr="00EF0131" w14:paraId="4359CCD1" w14:textId="77777777" w:rsidTr="00EF0131">
        <w:tc>
          <w:tcPr>
            <w:tcW w:w="0" w:type="auto"/>
            <w:hideMark/>
          </w:tcPr>
          <w:p w14:paraId="24D012A2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Expression des besoins</w:t>
            </w:r>
          </w:p>
        </w:tc>
        <w:tc>
          <w:tcPr>
            <w:tcW w:w="0" w:type="auto"/>
            <w:hideMark/>
          </w:tcPr>
          <w:p w14:paraId="5D67A957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Spécifications figées, obsolètes</w:t>
            </w:r>
          </w:p>
        </w:tc>
        <w:tc>
          <w:tcPr>
            <w:tcW w:w="0" w:type="auto"/>
            <w:hideMark/>
          </w:tcPr>
          <w:p w14:paraId="6CD85C4C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Approche agile et incrémentale</w:t>
            </w:r>
          </w:p>
        </w:tc>
      </w:tr>
      <w:tr w:rsidR="00763A01" w:rsidRPr="00EF0131" w14:paraId="1B6E50F5" w14:textId="77777777" w:rsidTr="00EF0131">
        <w:tc>
          <w:tcPr>
            <w:tcW w:w="0" w:type="auto"/>
            <w:hideMark/>
          </w:tcPr>
          <w:p w14:paraId="6713357B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Risque et qualité</w:t>
            </w:r>
          </w:p>
        </w:tc>
        <w:tc>
          <w:tcPr>
            <w:tcW w:w="0" w:type="auto"/>
            <w:hideMark/>
          </w:tcPr>
          <w:p w14:paraId="66F79B6E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Absence de suivi structuré</w:t>
            </w:r>
          </w:p>
        </w:tc>
        <w:tc>
          <w:tcPr>
            <w:tcW w:w="0" w:type="auto"/>
            <w:hideMark/>
          </w:tcPr>
          <w:p w14:paraId="4412AC71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Registre des risques, audits réguliers</w:t>
            </w:r>
          </w:p>
        </w:tc>
      </w:tr>
      <w:tr w:rsidR="00763A01" w:rsidRPr="00EF0131" w14:paraId="7CBF7B0F" w14:textId="77777777" w:rsidTr="00EF0131">
        <w:tc>
          <w:tcPr>
            <w:tcW w:w="0" w:type="auto"/>
            <w:hideMark/>
          </w:tcPr>
          <w:p w14:paraId="72247BAD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Changement</w:t>
            </w:r>
          </w:p>
        </w:tc>
        <w:tc>
          <w:tcPr>
            <w:tcW w:w="0" w:type="auto"/>
            <w:hideMark/>
          </w:tcPr>
          <w:p w14:paraId="7CA99048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Rejet des utilisateurs</w:t>
            </w:r>
          </w:p>
        </w:tc>
        <w:tc>
          <w:tcPr>
            <w:tcW w:w="0" w:type="auto"/>
            <w:hideMark/>
          </w:tcPr>
          <w:p w14:paraId="101124DA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Formation, communication, ADKAR</w:t>
            </w:r>
          </w:p>
        </w:tc>
      </w:tr>
      <w:tr w:rsidR="00763A01" w:rsidRPr="00EF0131" w14:paraId="0E2F2E3B" w14:textId="77777777" w:rsidTr="00EF0131">
        <w:tc>
          <w:tcPr>
            <w:tcW w:w="0" w:type="auto"/>
            <w:hideMark/>
          </w:tcPr>
          <w:p w14:paraId="58E0F3AC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Outils</w:t>
            </w:r>
          </w:p>
        </w:tc>
        <w:tc>
          <w:tcPr>
            <w:tcW w:w="0" w:type="auto"/>
            <w:hideMark/>
          </w:tcPr>
          <w:p w14:paraId="48F0E5D3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Hétérogénéité technique</w:t>
            </w:r>
          </w:p>
        </w:tc>
        <w:tc>
          <w:tcPr>
            <w:tcW w:w="0" w:type="auto"/>
            <w:hideMark/>
          </w:tcPr>
          <w:p w14:paraId="5CADAF69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Standardisation et interopérabilité</w:t>
            </w:r>
          </w:p>
        </w:tc>
      </w:tr>
      <w:tr w:rsidR="00763A01" w:rsidRPr="00EF0131" w14:paraId="3BCD0C6A" w14:textId="77777777" w:rsidTr="00EF0131">
        <w:tc>
          <w:tcPr>
            <w:tcW w:w="0" w:type="auto"/>
            <w:hideMark/>
          </w:tcPr>
          <w:p w14:paraId="430D542B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Culture</w:t>
            </w:r>
          </w:p>
        </w:tc>
        <w:tc>
          <w:tcPr>
            <w:tcW w:w="0" w:type="auto"/>
            <w:hideMark/>
          </w:tcPr>
          <w:p w14:paraId="7162BB14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Cloisonnement MOA/MOE</w:t>
            </w:r>
          </w:p>
        </w:tc>
        <w:tc>
          <w:tcPr>
            <w:tcW w:w="0" w:type="auto"/>
            <w:hideMark/>
          </w:tcPr>
          <w:p w14:paraId="73AFD6B6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Coopération DevOps et gouvernance partagée</w:t>
            </w:r>
          </w:p>
        </w:tc>
      </w:tr>
    </w:tbl>
    <w:p w14:paraId="6A448019" w14:textId="77777777" w:rsidR="00EF0131" w:rsidRDefault="00763A01" w:rsidP="00EF0131">
      <w:pPr>
        <w:spacing w:after="0" w:line="240" w:lineRule="auto"/>
      </w:pPr>
      <w:r w:rsidRPr="00763A01">
        <w:rPr>
          <w:rFonts w:ascii="Segoe UI Emoji" w:hAnsi="Segoe UI Emoji" w:cs="Segoe UI Emoji"/>
        </w:rPr>
        <w:t>📈</w:t>
      </w:r>
      <w:r w:rsidRPr="00763A01">
        <w:t xml:space="preserve"> Les projets les plus performants combinent </w:t>
      </w:r>
      <w:r w:rsidRPr="00763A01">
        <w:rPr>
          <w:b/>
          <w:bCs/>
        </w:rPr>
        <w:t>rigueur des méthodes traditionnelles</w:t>
      </w:r>
      <w:r w:rsidRPr="00763A01">
        <w:t xml:space="preserve"> et </w:t>
      </w:r>
      <w:r w:rsidRPr="00763A01">
        <w:rPr>
          <w:b/>
          <w:bCs/>
        </w:rPr>
        <w:t>souplesse des approches agiles et DevOps</w:t>
      </w:r>
      <w:r w:rsidRPr="00763A01">
        <w:t>.</w:t>
      </w:r>
    </w:p>
    <w:p w14:paraId="669CA0FD" w14:textId="1FE333BC" w:rsidR="00763A01" w:rsidRPr="00763A01" w:rsidRDefault="00763A01" w:rsidP="00EF0131">
      <w:pPr>
        <w:spacing w:after="0" w:line="240" w:lineRule="auto"/>
        <w:rPr>
          <w:b/>
          <w:bCs/>
        </w:rPr>
      </w:pPr>
      <w:r w:rsidRPr="00763A01">
        <w:rPr>
          <w:rFonts w:ascii="Segoe UI Emoji" w:hAnsi="Segoe UI Emoji" w:cs="Segoe UI Emoji"/>
          <w:b/>
          <w:bCs/>
        </w:rPr>
        <w:t>⚙️</w:t>
      </w:r>
      <w:r w:rsidRPr="00763A01">
        <w:rPr>
          <w:b/>
          <w:bCs/>
        </w:rPr>
        <w:t xml:space="preserve"> 6. Facteurs clés de succès d’un grand projet numérique</w:t>
      </w:r>
    </w:p>
    <w:p w14:paraId="21D8FFC6" w14:textId="77777777" w:rsidR="00763A01" w:rsidRPr="00763A01" w:rsidRDefault="00763A01">
      <w:pPr>
        <w:numPr>
          <w:ilvl w:val="0"/>
          <w:numId w:val="6"/>
        </w:numPr>
        <w:spacing w:after="0" w:line="240" w:lineRule="auto"/>
      </w:pPr>
      <w:r w:rsidRPr="00763A01">
        <w:rPr>
          <w:b/>
          <w:bCs/>
        </w:rPr>
        <w:t>Soutien explicite de la direction générale ou politique.</w:t>
      </w:r>
    </w:p>
    <w:p w14:paraId="1CD91E0E" w14:textId="77777777" w:rsidR="00763A01" w:rsidRPr="00763A01" w:rsidRDefault="00763A01">
      <w:pPr>
        <w:numPr>
          <w:ilvl w:val="0"/>
          <w:numId w:val="6"/>
        </w:numPr>
        <w:spacing w:after="0" w:line="240" w:lineRule="auto"/>
      </w:pPr>
      <w:r w:rsidRPr="00763A01">
        <w:rPr>
          <w:b/>
          <w:bCs/>
        </w:rPr>
        <w:t>Gouvernance claire avec responsabilités identifiées.</w:t>
      </w:r>
    </w:p>
    <w:p w14:paraId="5062D1BB" w14:textId="77777777" w:rsidR="00763A01" w:rsidRPr="00763A01" w:rsidRDefault="00763A01">
      <w:pPr>
        <w:numPr>
          <w:ilvl w:val="0"/>
          <w:numId w:val="6"/>
        </w:numPr>
        <w:spacing w:after="0" w:line="240" w:lineRule="auto"/>
      </w:pPr>
      <w:r w:rsidRPr="00763A01">
        <w:rPr>
          <w:b/>
          <w:bCs/>
        </w:rPr>
        <w:t>Équipe stable et compétente.</w:t>
      </w:r>
    </w:p>
    <w:p w14:paraId="7A14DA2E" w14:textId="77777777" w:rsidR="00763A01" w:rsidRPr="00763A01" w:rsidRDefault="00763A01">
      <w:pPr>
        <w:numPr>
          <w:ilvl w:val="0"/>
          <w:numId w:val="6"/>
        </w:numPr>
        <w:spacing w:after="0" w:line="240" w:lineRule="auto"/>
      </w:pPr>
      <w:r w:rsidRPr="00763A01">
        <w:rPr>
          <w:b/>
          <w:bCs/>
        </w:rPr>
        <w:t>Méthodes agiles ou hybrides adaptées à la complexité.</w:t>
      </w:r>
    </w:p>
    <w:p w14:paraId="0D032275" w14:textId="77777777" w:rsidR="00763A01" w:rsidRPr="00763A01" w:rsidRDefault="00763A01">
      <w:pPr>
        <w:numPr>
          <w:ilvl w:val="0"/>
          <w:numId w:val="6"/>
        </w:numPr>
        <w:spacing w:after="0" w:line="240" w:lineRule="auto"/>
      </w:pPr>
      <w:r w:rsidRPr="00763A01">
        <w:rPr>
          <w:b/>
          <w:bCs/>
        </w:rPr>
        <w:t>Gestion proactive des risques et de la qualité.</w:t>
      </w:r>
    </w:p>
    <w:p w14:paraId="4C4D8CD7" w14:textId="77777777" w:rsidR="00763A01" w:rsidRPr="00763A01" w:rsidRDefault="00763A01">
      <w:pPr>
        <w:numPr>
          <w:ilvl w:val="0"/>
          <w:numId w:val="6"/>
        </w:numPr>
        <w:spacing w:after="0" w:line="240" w:lineRule="auto"/>
      </w:pPr>
      <w:r w:rsidRPr="00763A01">
        <w:rPr>
          <w:b/>
          <w:bCs/>
        </w:rPr>
        <w:t>Communication et formation continue.</w:t>
      </w:r>
    </w:p>
    <w:p w14:paraId="6C43228C" w14:textId="77777777" w:rsidR="00EF0131" w:rsidRDefault="00763A01">
      <w:pPr>
        <w:numPr>
          <w:ilvl w:val="0"/>
          <w:numId w:val="6"/>
        </w:numPr>
        <w:spacing w:after="0" w:line="240" w:lineRule="auto"/>
      </w:pPr>
      <w:r w:rsidRPr="00763A01">
        <w:rPr>
          <w:b/>
          <w:bCs/>
        </w:rPr>
        <w:t>Indicateurs de suivi (KPI) mesurant coûts, délais et adoption.</w:t>
      </w:r>
    </w:p>
    <w:p w14:paraId="406008C4" w14:textId="60F32E46" w:rsidR="00763A01" w:rsidRPr="00763A01" w:rsidRDefault="00763A01" w:rsidP="00EF0131">
      <w:pPr>
        <w:spacing w:after="0" w:line="240" w:lineRule="auto"/>
        <w:rPr>
          <w:b/>
          <w:bCs/>
        </w:rPr>
      </w:pPr>
      <w:r w:rsidRPr="00763A01">
        <w:rPr>
          <w:rFonts w:ascii="Segoe UI Emoji" w:hAnsi="Segoe UI Emoji" w:cs="Segoe UI Emoji"/>
          <w:b/>
          <w:bCs/>
        </w:rPr>
        <w:t>📈</w:t>
      </w:r>
      <w:r w:rsidRPr="00763A01">
        <w:rPr>
          <w:b/>
          <w:bCs/>
        </w:rPr>
        <w:t xml:space="preserve"> 7. Indicateurs de performance (KPI) recommandés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68"/>
        <w:gridCol w:w="2794"/>
        <w:gridCol w:w="907"/>
      </w:tblGrid>
      <w:tr w:rsidR="00763A01" w:rsidRPr="00EF0131" w14:paraId="789D8760" w14:textId="77777777" w:rsidTr="00EF0131">
        <w:trPr>
          <w:tblHeader/>
        </w:trPr>
        <w:tc>
          <w:tcPr>
            <w:tcW w:w="0" w:type="auto"/>
            <w:hideMark/>
          </w:tcPr>
          <w:p w14:paraId="3F3D1A99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Domaine</w:t>
            </w:r>
          </w:p>
        </w:tc>
        <w:tc>
          <w:tcPr>
            <w:tcW w:w="0" w:type="auto"/>
            <w:hideMark/>
          </w:tcPr>
          <w:p w14:paraId="26323FCB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Indicateur</w:t>
            </w:r>
          </w:p>
        </w:tc>
        <w:tc>
          <w:tcPr>
            <w:tcW w:w="0" w:type="auto"/>
            <w:hideMark/>
          </w:tcPr>
          <w:p w14:paraId="70C60AE9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Objectif</w:t>
            </w:r>
          </w:p>
        </w:tc>
      </w:tr>
      <w:tr w:rsidR="00763A01" w:rsidRPr="00EF0131" w14:paraId="6D413B37" w14:textId="77777777" w:rsidTr="00EF0131">
        <w:tc>
          <w:tcPr>
            <w:tcW w:w="0" w:type="auto"/>
            <w:hideMark/>
          </w:tcPr>
          <w:p w14:paraId="4E5F5C18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Budget</w:t>
            </w:r>
          </w:p>
        </w:tc>
        <w:tc>
          <w:tcPr>
            <w:tcW w:w="0" w:type="auto"/>
            <w:hideMark/>
          </w:tcPr>
          <w:p w14:paraId="3B5CE60D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Écart entre coût prévu et réel</w:t>
            </w:r>
          </w:p>
        </w:tc>
        <w:tc>
          <w:tcPr>
            <w:tcW w:w="0" w:type="auto"/>
            <w:hideMark/>
          </w:tcPr>
          <w:p w14:paraId="75F258AF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À définir</w:t>
            </w:r>
          </w:p>
        </w:tc>
      </w:tr>
      <w:tr w:rsidR="00763A01" w:rsidRPr="00EF0131" w14:paraId="06B49DA0" w14:textId="77777777" w:rsidTr="00EF0131">
        <w:tc>
          <w:tcPr>
            <w:tcW w:w="0" w:type="auto"/>
            <w:hideMark/>
          </w:tcPr>
          <w:p w14:paraId="7A89A0BE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Délai</w:t>
            </w:r>
          </w:p>
        </w:tc>
        <w:tc>
          <w:tcPr>
            <w:tcW w:w="0" w:type="auto"/>
            <w:hideMark/>
          </w:tcPr>
          <w:p w14:paraId="0CE88B4B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Respect du planning global</w:t>
            </w:r>
          </w:p>
        </w:tc>
        <w:tc>
          <w:tcPr>
            <w:tcW w:w="0" w:type="auto"/>
            <w:hideMark/>
          </w:tcPr>
          <w:p w14:paraId="50346FDF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À définir</w:t>
            </w:r>
          </w:p>
        </w:tc>
      </w:tr>
      <w:tr w:rsidR="00763A01" w:rsidRPr="00EF0131" w14:paraId="197DC517" w14:textId="77777777" w:rsidTr="00EF0131">
        <w:tc>
          <w:tcPr>
            <w:tcW w:w="0" w:type="auto"/>
            <w:hideMark/>
          </w:tcPr>
          <w:p w14:paraId="5A0FADE8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Qualité</w:t>
            </w:r>
          </w:p>
        </w:tc>
        <w:tc>
          <w:tcPr>
            <w:tcW w:w="0" w:type="auto"/>
            <w:hideMark/>
          </w:tcPr>
          <w:p w14:paraId="268F929F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Taux de livrables conformes</w:t>
            </w:r>
          </w:p>
        </w:tc>
        <w:tc>
          <w:tcPr>
            <w:tcW w:w="0" w:type="auto"/>
            <w:hideMark/>
          </w:tcPr>
          <w:p w14:paraId="6CF8A278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À définir</w:t>
            </w:r>
          </w:p>
        </w:tc>
      </w:tr>
      <w:tr w:rsidR="00763A01" w:rsidRPr="00EF0131" w14:paraId="0A7952F6" w14:textId="77777777" w:rsidTr="00EF0131">
        <w:tc>
          <w:tcPr>
            <w:tcW w:w="0" w:type="auto"/>
            <w:hideMark/>
          </w:tcPr>
          <w:p w14:paraId="08FEC1A0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Adoption</w:t>
            </w:r>
          </w:p>
        </w:tc>
        <w:tc>
          <w:tcPr>
            <w:tcW w:w="0" w:type="auto"/>
            <w:hideMark/>
          </w:tcPr>
          <w:p w14:paraId="3056C86E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Taux d’utilisation du système</w:t>
            </w:r>
          </w:p>
        </w:tc>
        <w:tc>
          <w:tcPr>
            <w:tcW w:w="0" w:type="auto"/>
            <w:hideMark/>
          </w:tcPr>
          <w:p w14:paraId="0C53EB5F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À définir</w:t>
            </w:r>
          </w:p>
        </w:tc>
      </w:tr>
      <w:tr w:rsidR="00763A01" w:rsidRPr="00EF0131" w14:paraId="7197EC8B" w14:textId="77777777" w:rsidTr="00EF0131">
        <w:tc>
          <w:tcPr>
            <w:tcW w:w="0" w:type="auto"/>
            <w:hideMark/>
          </w:tcPr>
          <w:p w14:paraId="6B706ABA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Satisfaction utilisateur</w:t>
            </w:r>
          </w:p>
        </w:tc>
        <w:tc>
          <w:tcPr>
            <w:tcW w:w="0" w:type="auto"/>
            <w:hideMark/>
          </w:tcPr>
          <w:p w14:paraId="52BB46B9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Résultats des enquêtes internes</w:t>
            </w:r>
          </w:p>
        </w:tc>
        <w:tc>
          <w:tcPr>
            <w:tcW w:w="0" w:type="auto"/>
            <w:hideMark/>
          </w:tcPr>
          <w:p w14:paraId="7595096F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À définir</w:t>
            </w:r>
          </w:p>
        </w:tc>
      </w:tr>
      <w:tr w:rsidR="00763A01" w:rsidRPr="00EF0131" w14:paraId="08D9ECCE" w14:textId="77777777" w:rsidTr="00EF0131">
        <w:tc>
          <w:tcPr>
            <w:tcW w:w="0" w:type="auto"/>
            <w:hideMark/>
          </w:tcPr>
          <w:p w14:paraId="6C5A8F33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Résilience</w:t>
            </w:r>
          </w:p>
        </w:tc>
        <w:tc>
          <w:tcPr>
            <w:tcW w:w="0" w:type="auto"/>
            <w:hideMark/>
          </w:tcPr>
          <w:p w14:paraId="6934775C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Disponibilité du système (SLA)</w:t>
            </w:r>
          </w:p>
        </w:tc>
        <w:tc>
          <w:tcPr>
            <w:tcW w:w="0" w:type="auto"/>
            <w:hideMark/>
          </w:tcPr>
          <w:p w14:paraId="1CD3EA8D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À définir</w:t>
            </w:r>
          </w:p>
        </w:tc>
      </w:tr>
    </w:tbl>
    <w:p w14:paraId="2B5E5C8D" w14:textId="24E44328" w:rsidR="00763A01" w:rsidRPr="00763A01" w:rsidRDefault="00763A01" w:rsidP="00EF0131">
      <w:pPr>
        <w:spacing w:after="0" w:line="240" w:lineRule="auto"/>
      </w:pPr>
    </w:p>
    <w:p w14:paraId="5E114C29" w14:textId="39A4A485" w:rsidR="00763A01" w:rsidRPr="00763A01" w:rsidRDefault="00763A01" w:rsidP="00EF0131">
      <w:pPr>
        <w:spacing w:after="0" w:line="240" w:lineRule="auto"/>
        <w:rPr>
          <w:b/>
          <w:bCs/>
        </w:rPr>
      </w:pPr>
      <w:r w:rsidRPr="00763A01">
        <w:rPr>
          <w:rFonts w:ascii="Segoe UI Emoji" w:hAnsi="Segoe UI Emoji" w:cs="Segoe UI Emoji"/>
          <w:b/>
          <w:bCs/>
        </w:rPr>
        <w:t>📘 8. Illustration pédagogique fictive</w:t>
      </w:r>
      <w:r w:rsidR="00EF0131">
        <w:rPr>
          <w:rFonts w:ascii="Segoe UI Emoji" w:hAnsi="Segoe UI Emoji" w:cs="Segoe UI Emoji"/>
          <w:b/>
          <w:bCs/>
        </w:rPr>
        <w:t> :</w:t>
      </w:r>
      <w:r w:rsidRPr="00763A01">
        <w:rPr>
          <w:rFonts w:ascii="Segoe UI Emoji" w:hAnsi="Segoe UI Emoji" w:cs="Segoe UI Emoji"/>
          <w:b/>
          <w:bCs/>
        </w:rPr>
        <w:t xml:space="preserve"> autonomie des équipes et exploitation des applications</w:t>
      </w:r>
    </w:p>
    <w:p w14:paraId="58A3B0E9" w14:textId="7EBC5F6F" w:rsidR="00763A01" w:rsidRDefault="00763A01" w:rsidP="00EF0131">
      <w:pPr>
        <w:spacing w:after="0" w:line="240" w:lineRule="auto"/>
      </w:pPr>
      <w:r w:rsidRPr="00763A01">
        <w:rPr>
          <w:b/>
          <w:bCs/>
        </w:rPr>
        <w:t>Contexte</w:t>
      </w:r>
      <w:r w:rsidR="00EF0131">
        <w:rPr>
          <w:b/>
          <w:bCs/>
        </w:rPr>
        <w:t> :</w:t>
      </w:r>
    </w:p>
    <w:p w14:paraId="1AC6C9B1" w14:textId="77777777" w:rsidR="00763A01" w:rsidRDefault="00763A01" w:rsidP="00EF0131">
      <w:pPr>
        <w:spacing w:after="0" w:line="240" w:lineRule="auto"/>
      </w:pPr>
      <w:r w:rsidRPr="00763A01">
        <w:t>Dans cette illustration, une plateforme numérique à très grande échelle cherche à confier la qualité et l’exploitation de ses services à des équipes pluridisciplinaires.</w:t>
      </w:r>
    </w:p>
    <w:p w14:paraId="5734461E" w14:textId="66E92A8D" w:rsidR="00763A01" w:rsidRPr="00763A01" w:rsidRDefault="00763A01" w:rsidP="00EF0131">
      <w:pPr>
        <w:spacing w:after="0" w:line="240" w:lineRule="auto"/>
      </w:pPr>
      <w:r w:rsidRPr="00763A01">
        <w:t>Une responsabilité partagée implique développement, exploitation, sécurité et support</w:t>
      </w:r>
      <w:r w:rsidR="00EF0131">
        <w:t> ;</w:t>
      </w:r>
      <w:r w:rsidRPr="00763A01">
        <w:t xml:space="preserve"> elle ne signifie pas que chaque développeur exploite seul son code en production.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95"/>
        <w:gridCol w:w="3868"/>
        <w:gridCol w:w="4551"/>
      </w:tblGrid>
      <w:tr w:rsidR="00763A01" w:rsidRPr="00EF0131" w14:paraId="45301253" w14:textId="77777777" w:rsidTr="00EF0131">
        <w:trPr>
          <w:tblHeader/>
        </w:trPr>
        <w:tc>
          <w:tcPr>
            <w:tcW w:w="0" w:type="auto"/>
            <w:hideMark/>
          </w:tcPr>
          <w:p w14:paraId="0B72DD4B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Dimension</w:t>
            </w:r>
          </w:p>
        </w:tc>
        <w:tc>
          <w:tcPr>
            <w:tcW w:w="0" w:type="auto"/>
            <w:hideMark/>
          </w:tcPr>
          <w:p w14:paraId="50A04B67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Pratique DevOps</w:t>
            </w:r>
          </w:p>
        </w:tc>
        <w:tc>
          <w:tcPr>
            <w:tcW w:w="0" w:type="auto"/>
            <w:hideMark/>
          </w:tcPr>
          <w:p w14:paraId="3079A15C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Résultat</w:t>
            </w:r>
          </w:p>
        </w:tc>
      </w:tr>
      <w:tr w:rsidR="00763A01" w:rsidRPr="00EF0131" w14:paraId="1A9D1FEB" w14:textId="77777777" w:rsidTr="00EF0131">
        <w:tc>
          <w:tcPr>
            <w:tcW w:w="0" w:type="auto"/>
            <w:hideMark/>
          </w:tcPr>
          <w:p w14:paraId="603BD411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Déploiement</w:t>
            </w:r>
          </w:p>
        </w:tc>
        <w:tc>
          <w:tcPr>
            <w:tcW w:w="0" w:type="auto"/>
            <w:hideMark/>
          </w:tcPr>
          <w:p w14:paraId="724368D0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Automatisation complète via Spinnaker.</w:t>
            </w:r>
          </w:p>
        </w:tc>
        <w:tc>
          <w:tcPr>
            <w:tcW w:w="0" w:type="auto"/>
            <w:hideMark/>
          </w:tcPr>
          <w:p w14:paraId="1F18EF32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Plusieurs centaines de mises à jour par jour.</w:t>
            </w:r>
          </w:p>
        </w:tc>
      </w:tr>
      <w:tr w:rsidR="00763A01" w:rsidRPr="00EF0131" w14:paraId="3A954EE7" w14:textId="77777777" w:rsidTr="00EF0131">
        <w:tc>
          <w:tcPr>
            <w:tcW w:w="0" w:type="auto"/>
            <w:hideMark/>
          </w:tcPr>
          <w:p w14:paraId="18DE2A2E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Résilience</w:t>
            </w:r>
          </w:p>
        </w:tc>
        <w:tc>
          <w:tcPr>
            <w:tcW w:w="0" w:type="auto"/>
            <w:hideMark/>
          </w:tcPr>
          <w:p w14:paraId="1E04D5D8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Tests de panne automatisés (Chaos Monkey).</w:t>
            </w:r>
          </w:p>
        </w:tc>
        <w:tc>
          <w:tcPr>
            <w:tcW w:w="0" w:type="auto"/>
            <w:hideMark/>
          </w:tcPr>
          <w:p w14:paraId="3A8C7C9C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À définir</w:t>
            </w:r>
          </w:p>
        </w:tc>
      </w:tr>
      <w:tr w:rsidR="00763A01" w:rsidRPr="00EF0131" w14:paraId="43CFCDFA" w14:textId="77777777" w:rsidTr="00EF0131">
        <w:tc>
          <w:tcPr>
            <w:tcW w:w="0" w:type="auto"/>
            <w:hideMark/>
          </w:tcPr>
          <w:p w14:paraId="0D00D2C8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b/>
                <w:bCs/>
                <w:sz w:val="20"/>
              </w:rPr>
              <w:t>Culture</w:t>
            </w:r>
          </w:p>
        </w:tc>
        <w:tc>
          <w:tcPr>
            <w:tcW w:w="0" w:type="auto"/>
            <w:hideMark/>
          </w:tcPr>
          <w:p w14:paraId="73A2F47B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Autonomie totale des équipes.</w:t>
            </w:r>
          </w:p>
        </w:tc>
        <w:tc>
          <w:tcPr>
            <w:tcW w:w="0" w:type="auto"/>
            <w:hideMark/>
          </w:tcPr>
          <w:p w14:paraId="4D8A0ADE" w14:textId="77777777" w:rsidR="00763A01" w:rsidRPr="00EF0131" w:rsidRDefault="00763A01" w:rsidP="00EF0131">
            <w:pPr>
              <w:jc w:val="left"/>
              <w:rPr>
                <w:rFonts w:ascii="Calibri" w:hAnsi="Calibri" w:cs="Calibri"/>
                <w:sz w:val="20"/>
              </w:rPr>
            </w:pPr>
            <w:r w:rsidRPr="00EF0131">
              <w:rPr>
                <w:rFonts w:ascii="Calibri" w:hAnsi="Calibri" w:cs="Calibri"/>
                <w:sz w:val="20"/>
              </w:rPr>
              <w:t>Innovation continue, délai moyen de correction &lt; 1 h.</w:t>
            </w:r>
          </w:p>
        </w:tc>
      </w:tr>
    </w:tbl>
    <w:p w14:paraId="6CDE6225" w14:textId="77777777" w:rsidR="00EF0131" w:rsidRDefault="00763A01" w:rsidP="00EF0131">
      <w:pPr>
        <w:spacing w:after="0" w:line="240" w:lineRule="auto"/>
      </w:pPr>
      <w:r w:rsidRPr="00763A01">
        <w:rPr>
          <w:rFonts w:ascii="Segoe UI Emoji" w:hAnsi="Segoe UI Emoji" w:cs="Segoe UI Emoji"/>
        </w:rPr>
        <w:t>💡 Les données du tableau sont des hypothèses</w:t>
      </w:r>
      <w:r w:rsidR="00EF0131">
        <w:rPr>
          <w:rFonts w:ascii="Segoe UI Emoji" w:hAnsi="Segoe UI Emoji" w:cs="Segoe UI Emoji"/>
        </w:rPr>
        <w:t> :</w:t>
      </w:r>
      <w:r w:rsidRPr="00763A01">
        <w:rPr>
          <w:rFonts w:ascii="Segoe UI Emoji" w:hAnsi="Segoe UI Emoji" w:cs="Segoe UI Emoji"/>
        </w:rPr>
        <w:t xml:space="preserve"> elles servent à choisir des indicateurs et à discuter les conditions permettant de vérifier un résultat.</w:t>
      </w:r>
    </w:p>
    <w:p w14:paraId="4C4D0A8A" w14:textId="66913D02" w:rsidR="00763A01" w:rsidRPr="00763A01" w:rsidRDefault="00763A01" w:rsidP="00EF0131">
      <w:pPr>
        <w:spacing w:after="0" w:line="240" w:lineRule="auto"/>
        <w:rPr>
          <w:b/>
          <w:bCs/>
        </w:rPr>
      </w:pPr>
      <w:r w:rsidRPr="00763A01">
        <w:rPr>
          <w:rFonts w:ascii="Segoe UI Emoji" w:hAnsi="Segoe UI Emoji" w:cs="Segoe UI Emoji"/>
          <w:b/>
          <w:bCs/>
        </w:rPr>
        <w:t>🧩</w:t>
      </w:r>
      <w:r w:rsidRPr="00763A01">
        <w:rPr>
          <w:b/>
          <w:bCs/>
        </w:rPr>
        <w:t xml:space="preserve"> 9. Bonnes pratiques globales à retenir</w:t>
      </w:r>
    </w:p>
    <w:p w14:paraId="429A2E2B" w14:textId="77777777" w:rsidR="00763A01" w:rsidRPr="00763A01" w:rsidRDefault="00763A01">
      <w:pPr>
        <w:numPr>
          <w:ilvl w:val="0"/>
          <w:numId w:val="7"/>
        </w:numPr>
        <w:spacing w:after="0" w:line="240" w:lineRule="auto"/>
      </w:pPr>
      <w:r w:rsidRPr="00763A01">
        <w:rPr>
          <w:b/>
          <w:bCs/>
        </w:rPr>
        <w:t>Concevoir la gouvernance avant la technique.</w:t>
      </w:r>
    </w:p>
    <w:p w14:paraId="2FE9FFE3" w14:textId="77777777" w:rsidR="00763A01" w:rsidRPr="00763A01" w:rsidRDefault="00763A01">
      <w:pPr>
        <w:numPr>
          <w:ilvl w:val="0"/>
          <w:numId w:val="7"/>
        </w:numPr>
        <w:spacing w:after="0" w:line="240" w:lineRule="auto"/>
      </w:pPr>
      <w:r w:rsidRPr="00763A01">
        <w:rPr>
          <w:b/>
          <w:bCs/>
        </w:rPr>
        <w:t>Adopter des méthodes hybrides (cycle en V + Agile).</w:t>
      </w:r>
    </w:p>
    <w:p w14:paraId="3F0A8041" w14:textId="77777777" w:rsidR="00763A01" w:rsidRPr="00763A01" w:rsidRDefault="00763A01">
      <w:pPr>
        <w:numPr>
          <w:ilvl w:val="0"/>
          <w:numId w:val="7"/>
        </w:numPr>
        <w:spacing w:after="0" w:line="240" w:lineRule="auto"/>
      </w:pPr>
      <w:r w:rsidRPr="00763A01">
        <w:rPr>
          <w:b/>
          <w:bCs/>
        </w:rPr>
        <w:t>Former et impliquer les utilisateurs dès le cadrage.</w:t>
      </w:r>
    </w:p>
    <w:p w14:paraId="10E720D2" w14:textId="77777777" w:rsidR="00763A01" w:rsidRPr="00763A01" w:rsidRDefault="00763A01">
      <w:pPr>
        <w:numPr>
          <w:ilvl w:val="0"/>
          <w:numId w:val="7"/>
        </w:numPr>
        <w:spacing w:after="0" w:line="240" w:lineRule="auto"/>
      </w:pPr>
      <w:r w:rsidRPr="00763A01">
        <w:rPr>
          <w:b/>
          <w:bCs/>
        </w:rPr>
        <w:t>Communiquer sur les succès intermédiaires.</w:t>
      </w:r>
    </w:p>
    <w:p w14:paraId="0DE2DEA6" w14:textId="77777777" w:rsidR="00763A01" w:rsidRPr="00763A01" w:rsidRDefault="00763A01">
      <w:pPr>
        <w:numPr>
          <w:ilvl w:val="0"/>
          <w:numId w:val="7"/>
        </w:numPr>
        <w:spacing w:after="0" w:line="240" w:lineRule="auto"/>
      </w:pPr>
      <w:r w:rsidRPr="00763A01">
        <w:rPr>
          <w:b/>
          <w:bCs/>
        </w:rPr>
        <w:t>Réaliser des bilans réguliers (REX) et audits indépendants.</w:t>
      </w:r>
    </w:p>
    <w:p w14:paraId="53844F49" w14:textId="77777777" w:rsidR="00763A01" w:rsidRPr="00763A01" w:rsidRDefault="00763A01">
      <w:pPr>
        <w:numPr>
          <w:ilvl w:val="0"/>
          <w:numId w:val="7"/>
        </w:numPr>
        <w:spacing w:after="0" w:line="240" w:lineRule="auto"/>
      </w:pPr>
      <w:r w:rsidRPr="00763A01">
        <w:rPr>
          <w:b/>
          <w:bCs/>
        </w:rPr>
        <w:t>Intégrer la durabilité et la sécurité dès la conception.</w:t>
      </w:r>
    </w:p>
    <w:p w14:paraId="7784A7C1" w14:textId="77777777" w:rsidR="00EF0131" w:rsidRDefault="00763A01">
      <w:pPr>
        <w:numPr>
          <w:ilvl w:val="0"/>
          <w:numId w:val="7"/>
        </w:numPr>
        <w:spacing w:after="0" w:line="240" w:lineRule="auto"/>
      </w:pPr>
      <w:r w:rsidRPr="00763A01">
        <w:rPr>
          <w:b/>
          <w:bCs/>
        </w:rPr>
        <w:t>Assurer la cohérence avec la stratégie d’entreprise.</w:t>
      </w:r>
    </w:p>
    <w:p w14:paraId="774C86B3" w14:textId="2A681F47" w:rsidR="00763A01" w:rsidRPr="00763A01" w:rsidRDefault="00763A01" w:rsidP="00EF0131">
      <w:pPr>
        <w:spacing w:after="0" w:line="240" w:lineRule="auto"/>
        <w:rPr>
          <w:b/>
          <w:bCs/>
        </w:rPr>
      </w:pPr>
      <w:r w:rsidRPr="00763A01">
        <w:rPr>
          <w:rFonts w:ascii="Segoe UI Emoji" w:hAnsi="Segoe UI Emoji" w:cs="Segoe UI Emoji"/>
          <w:b/>
          <w:bCs/>
        </w:rPr>
        <w:t>📚</w:t>
      </w:r>
      <w:r w:rsidRPr="00763A01">
        <w:rPr>
          <w:b/>
          <w:bCs/>
        </w:rPr>
        <w:t xml:space="preserve"> Références et ressources</w:t>
      </w:r>
    </w:p>
    <w:p w14:paraId="4DD865E1" w14:textId="48EB5E6A" w:rsidR="00763A01" w:rsidRPr="00763A01" w:rsidRDefault="00763A01">
      <w:pPr>
        <w:numPr>
          <w:ilvl w:val="0"/>
          <w:numId w:val="8"/>
        </w:numPr>
        <w:spacing w:after="0" w:line="240" w:lineRule="auto"/>
      </w:pPr>
      <w:r w:rsidRPr="00763A01">
        <w:rPr>
          <w:b/>
          <w:bCs/>
        </w:rPr>
        <w:t>Cour des comptes, La conduite des grands projets numériques de l’État, 2020</w:t>
      </w:r>
      <w:r w:rsidR="00EF0131">
        <w:rPr>
          <w:b/>
          <w:bCs/>
        </w:rPr>
        <w:t> ;</w:t>
      </w:r>
      <w:r w:rsidRPr="00763A01">
        <w:rPr>
          <w:b/>
          <w:bCs/>
        </w:rPr>
        <w:t xml:space="preserve"> Le versement de la solde des militaires, rapport public annuel 2016 (sources primaires).</w:t>
      </w:r>
    </w:p>
    <w:p w14:paraId="01C95577" w14:textId="77777777" w:rsidR="00763A01" w:rsidRPr="00763A01" w:rsidRDefault="00763A01">
      <w:pPr>
        <w:numPr>
          <w:ilvl w:val="0"/>
          <w:numId w:val="8"/>
        </w:numPr>
        <w:spacing w:after="0" w:line="240" w:lineRule="auto"/>
      </w:pPr>
      <w:r w:rsidRPr="00763A01">
        <w:rPr>
          <w:b/>
          <w:bCs/>
        </w:rPr>
        <w:lastRenderedPageBreak/>
        <w:t>Gonzalez, Tombarel, Cherry et Lakhlef, DCG 8 – Système d’information de gestion, Nathan, 2026, chap. 4, p. 80, 85-88 (analyse de l’évolution, urbanisation et gouvernance).</w:t>
      </w:r>
    </w:p>
    <w:sectPr w:rsidR="00763A01" w:rsidRPr="00763A01" w:rsidSect="00EF0131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4C70E" w14:textId="77777777" w:rsidR="00D31C2D" w:rsidRDefault="00D31C2D" w:rsidP="00B870C7">
      <w:r>
        <w:separator/>
      </w:r>
    </w:p>
  </w:endnote>
  <w:endnote w:type="continuationSeparator" w:id="0">
    <w:p w14:paraId="3720AB8F" w14:textId="77777777" w:rsidR="00D31C2D" w:rsidRDefault="00D31C2D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1B282" w14:textId="77777777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D25EB" w14:textId="77777777" w:rsidR="00D31C2D" w:rsidRDefault="00D31C2D" w:rsidP="00B870C7">
      <w:r>
        <w:separator/>
      </w:r>
    </w:p>
  </w:footnote>
  <w:footnote w:type="continuationSeparator" w:id="0">
    <w:p w14:paraId="45806BC5" w14:textId="77777777" w:rsidR="00D31C2D" w:rsidRDefault="00D31C2D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C7F09"/>
    <w:multiLevelType w:val="multilevel"/>
    <w:tmpl w:val="A83A6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197B39"/>
    <w:multiLevelType w:val="multilevel"/>
    <w:tmpl w:val="FF1C6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4A154A"/>
    <w:multiLevelType w:val="multilevel"/>
    <w:tmpl w:val="EC460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5154B9"/>
    <w:multiLevelType w:val="multilevel"/>
    <w:tmpl w:val="EDF43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886AEE"/>
    <w:multiLevelType w:val="multilevel"/>
    <w:tmpl w:val="123A8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090E86"/>
    <w:multiLevelType w:val="multilevel"/>
    <w:tmpl w:val="94ACF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9E0B1C"/>
    <w:multiLevelType w:val="multilevel"/>
    <w:tmpl w:val="A52C0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FAB13EB"/>
    <w:multiLevelType w:val="multilevel"/>
    <w:tmpl w:val="958A7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3631274">
    <w:abstractNumId w:val="3"/>
  </w:num>
  <w:num w:numId="2" w16cid:durableId="129368382">
    <w:abstractNumId w:val="4"/>
  </w:num>
  <w:num w:numId="3" w16cid:durableId="59061708">
    <w:abstractNumId w:val="2"/>
  </w:num>
  <w:num w:numId="4" w16cid:durableId="1117719844">
    <w:abstractNumId w:val="0"/>
  </w:num>
  <w:num w:numId="5" w16cid:durableId="449056109">
    <w:abstractNumId w:val="5"/>
  </w:num>
  <w:num w:numId="6" w16cid:durableId="1405882674">
    <w:abstractNumId w:val="1"/>
  </w:num>
  <w:num w:numId="7" w16cid:durableId="1939870050">
    <w:abstractNumId w:val="6"/>
  </w:num>
  <w:num w:numId="8" w16cid:durableId="95821840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13702"/>
    <w:rsid w:val="00014644"/>
    <w:rsid w:val="000326D2"/>
    <w:rsid w:val="00072A89"/>
    <w:rsid w:val="000D288C"/>
    <w:rsid w:val="000D6AF9"/>
    <w:rsid w:val="000F1177"/>
    <w:rsid w:val="0013594E"/>
    <w:rsid w:val="00135CDD"/>
    <w:rsid w:val="001666DB"/>
    <w:rsid w:val="001B03F3"/>
    <w:rsid w:val="001B6946"/>
    <w:rsid w:val="001C2E5A"/>
    <w:rsid w:val="001D3D81"/>
    <w:rsid w:val="001F5435"/>
    <w:rsid w:val="001F62BC"/>
    <w:rsid w:val="001F64D4"/>
    <w:rsid w:val="002439F2"/>
    <w:rsid w:val="002569B2"/>
    <w:rsid w:val="0026538A"/>
    <w:rsid w:val="00287044"/>
    <w:rsid w:val="002A54D6"/>
    <w:rsid w:val="002A57BA"/>
    <w:rsid w:val="002D3ADB"/>
    <w:rsid w:val="002F2663"/>
    <w:rsid w:val="003028E5"/>
    <w:rsid w:val="00305E8E"/>
    <w:rsid w:val="003437AD"/>
    <w:rsid w:val="003543DC"/>
    <w:rsid w:val="00355840"/>
    <w:rsid w:val="00375473"/>
    <w:rsid w:val="003C2B2F"/>
    <w:rsid w:val="003C4213"/>
    <w:rsid w:val="003D4892"/>
    <w:rsid w:val="003D6FF4"/>
    <w:rsid w:val="003E0E50"/>
    <w:rsid w:val="003E639A"/>
    <w:rsid w:val="003E73E6"/>
    <w:rsid w:val="003F7676"/>
    <w:rsid w:val="00405762"/>
    <w:rsid w:val="004203D1"/>
    <w:rsid w:val="00422216"/>
    <w:rsid w:val="0042534D"/>
    <w:rsid w:val="004663D0"/>
    <w:rsid w:val="0047396D"/>
    <w:rsid w:val="004A6242"/>
    <w:rsid w:val="004B49D6"/>
    <w:rsid w:val="004D247E"/>
    <w:rsid w:val="004E074F"/>
    <w:rsid w:val="0050112B"/>
    <w:rsid w:val="005128C6"/>
    <w:rsid w:val="005221A8"/>
    <w:rsid w:val="00524B3E"/>
    <w:rsid w:val="00545C60"/>
    <w:rsid w:val="00580F46"/>
    <w:rsid w:val="0059110C"/>
    <w:rsid w:val="005962A0"/>
    <w:rsid w:val="005A58EB"/>
    <w:rsid w:val="005B4561"/>
    <w:rsid w:val="005E0DC3"/>
    <w:rsid w:val="00600E05"/>
    <w:rsid w:val="00613FDE"/>
    <w:rsid w:val="00632C58"/>
    <w:rsid w:val="00632EDC"/>
    <w:rsid w:val="006460AB"/>
    <w:rsid w:val="00646BF8"/>
    <w:rsid w:val="00665A35"/>
    <w:rsid w:val="006C0415"/>
    <w:rsid w:val="006C6336"/>
    <w:rsid w:val="006D099F"/>
    <w:rsid w:val="006D6317"/>
    <w:rsid w:val="00700DA4"/>
    <w:rsid w:val="00713AC4"/>
    <w:rsid w:val="00725916"/>
    <w:rsid w:val="00763A01"/>
    <w:rsid w:val="007A1353"/>
    <w:rsid w:val="007A6C8D"/>
    <w:rsid w:val="007D52B4"/>
    <w:rsid w:val="007E1FF6"/>
    <w:rsid w:val="007E5513"/>
    <w:rsid w:val="00800F72"/>
    <w:rsid w:val="00821279"/>
    <w:rsid w:val="008476EE"/>
    <w:rsid w:val="00867BAB"/>
    <w:rsid w:val="00867FF2"/>
    <w:rsid w:val="008A3BA9"/>
    <w:rsid w:val="008C2EB8"/>
    <w:rsid w:val="008D1926"/>
    <w:rsid w:val="009115B1"/>
    <w:rsid w:val="00911C39"/>
    <w:rsid w:val="00931ED3"/>
    <w:rsid w:val="00974A72"/>
    <w:rsid w:val="00991621"/>
    <w:rsid w:val="009B0B53"/>
    <w:rsid w:val="009B4249"/>
    <w:rsid w:val="009F317A"/>
    <w:rsid w:val="00A4325D"/>
    <w:rsid w:val="00A52414"/>
    <w:rsid w:val="00A6235F"/>
    <w:rsid w:val="00A662DC"/>
    <w:rsid w:val="00A94D14"/>
    <w:rsid w:val="00A9715C"/>
    <w:rsid w:val="00AA6814"/>
    <w:rsid w:val="00AB6315"/>
    <w:rsid w:val="00B466D1"/>
    <w:rsid w:val="00B507B1"/>
    <w:rsid w:val="00B649B3"/>
    <w:rsid w:val="00B65E49"/>
    <w:rsid w:val="00B870C7"/>
    <w:rsid w:val="00B9030D"/>
    <w:rsid w:val="00B906BB"/>
    <w:rsid w:val="00B9666C"/>
    <w:rsid w:val="00BA73A4"/>
    <w:rsid w:val="00BB2B03"/>
    <w:rsid w:val="00BB54AA"/>
    <w:rsid w:val="00BD66AA"/>
    <w:rsid w:val="00BE5F53"/>
    <w:rsid w:val="00C03F1D"/>
    <w:rsid w:val="00C43ED4"/>
    <w:rsid w:val="00C825EC"/>
    <w:rsid w:val="00C87F06"/>
    <w:rsid w:val="00CA4633"/>
    <w:rsid w:val="00CC0D37"/>
    <w:rsid w:val="00CC4DE7"/>
    <w:rsid w:val="00D00629"/>
    <w:rsid w:val="00D31C2D"/>
    <w:rsid w:val="00D503E9"/>
    <w:rsid w:val="00D97C51"/>
    <w:rsid w:val="00DA6E3D"/>
    <w:rsid w:val="00DD2902"/>
    <w:rsid w:val="00DE760B"/>
    <w:rsid w:val="00DE7F29"/>
    <w:rsid w:val="00E07964"/>
    <w:rsid w:val="00E5775F"/>
    <w:rsid w:val="00E9016D"/>
    <w:rsid w:val="00EF0131"/>
    <w:rsid w:val="00F07238"/>
    <w:rsid w:val="00F26BAE"/>
    <w:rsid w:val="00F4784B"/>
    <w:rsid w:val="00F47F65"/>
    <w:rsid w:val="00F73967"/>
    <w:rsid w:val="00F83D28"/>
    <w:rsid w:val="00F925D4"/>
    <w:rsid w:val="00FC5D7F"/>
    <w:rsid w:val="00FD547C"/>
    <w:rsid w:val="00FF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12172"/>
  <w15:chartTrackingRefBased/>
  <w15:docId w15:val="{13132CFF-2D02-454C-9AB4-7458510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1557</Words>
  <Characters>8566</Characters>
  <Application>Microsoft Office Word</Application>
  <DocSecurity>0</DocSecurity>
  <Lines>71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/>
  <cp:lastModifiedBy>Georges Cherry</cp:lastModifiedBy>
  <cp:revision>4</cp:revision>
  <cp:lastPrinted>2024-10-21T07:08:00Z</cp:lastPrinted>
  <dcterms:created xsi:type="dcterms:W3CDTF">2025-10-24T08:56:00Z</dcterms:created>
  <dcterms:modified xsi:type="dcterms:W3CDTF">2026-10-19T10:58:00Z</dcterms:modified>
</cp:coreProperties>
</file>