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F7E3B" w14:textId="4B52E145" w:rsidR="00FA0E3A" w:rsidRPr="00FA0E3A" w:rsidRDefault="00FA0E3A" w:rsidP="00275A92">
      <w:pPr>
        <w:pStyle w:val="Titre1"/>
        <w:spacing w:before="0" w:after="0" w:line="240" w:lineRule="auto"/>
      </w:pPr>
      <w:r w:rsidRPr="00FA0E3A">
        <w:t xml:space="preserve">Fiche 1 </w:t>
      </w:r>
      <w:r>
        <w:t>-</w:t>
      </w:r>
      <w:r w:rsidRPr="00FA0E3A">
        <w:t xml:space="preserve"> La règle de droit, les sources du droit et la hiérarchie des normes</w:t>
      </w:r>
    </w:p>
    <w:p w14:paraId="102A582E" w14:textId="4B53ADF2" w:rsidR="00FA0E3A" w:rsidRPr="00FA0E3A" w:rsidRDefault="00FA0E3A" w:rsidP="00275A92">
      <w:pPr>
        <w:spacing w:after="0" w:line="240" w:lineRule="auto"/>
      </w:pPr>
      <w:r w:rsidRPr="00FA0E3A">
        <w:rPr>
          <w:b/>
          <w:bCs/>
        </w:rPr>
        <w:t>Mise à jour</w:t>
      </w:r>
      <w:r w:rsidR="00275A92">
        <w:rPr>
          <w:b/>
          <w:bCs/>
        </w:rPr>
        <w:t> :</w:t>
      </w:r>
      <w:r w:rsidRPr="00FA0E3A">
        <w:rPr>
          <w:b/>
          <w:bCs/>
        </w:rPr>
        <w:t xml:space="preserve"> 12 août 2026</w:t>
      </w:r>
    </w:p>
    <w:p w14:paraId="2704AD53" w14:textId="77777777" w:rsidR="00FA0E3A" w:rsidRPr="00FA0E3A" w:rsidRDefault="00000000" w:rsidP="00275A92">
      <w:pPr>
        <w:spacing w:after="0" w:line="240" w:lineRule="auto"/>
      </w:pPr>
      <w:r>
        <w:pict w14:anchorId="2CCB73C5">
          <v:rect id="_x0000_i1025" style="width:0;height:1.5pt" o:hralign="center" o:hrstd="t" o:hr="t" fillcolor="#a0a0a0" stroked="f"/>
        </w:pict>
      </w:r>
    </w:p>
    <w:p w14:paraId="797A2370" w14:textId="77777777" w:rsidR="00FA0E3A" w:rsidRPr="00FA0E3A" w:rsidRDefault="00FA0E3A" w:rsidP="00275A92">
      <w:pPr>
        <w:pStyle w:val="Titre1"/>
      </w:pPr>
      <w:r w:rsidRPr="00FA0E3A">
        <w:t>1. La règle de droit</w:t>
      </w:r>
    </w:p>
    <w:p w14:paraId="5DAE7B2B" w14:textId="77777777" w:rsidR="00FA0E3A" w:rsidRPr="00FA0E3A" w:rsidRDefault="00FA0E3A" w:rsidP="00275A92">
      <w:pPr>
        <w:spacing w:after="0" w:line="240" w:lineRule="auto"/>
        <w:rPr>
          <w:b/>
          <w:bCs/>
        </w:rPr>
      </w:pPr>
      <w:r w:rsidRPr="00FA0E3A">
        <w:rPr>
          <w:b/>
          <w:bCs/>
        </w:rPr>
        <w:t>1.1 Définition</w:t>
      </w:r>
    </w:p>
    <w:p w14:paraId="09B807A7" w14:textId="77777777" w:rsidR="00FA0E3A" w:rsidRPr="00FA0E3A" w:rsidRDefault="00FA0E3A" w:rsidP="00275A92">
      <w:pPr>
        <w:spacing w:after="0" w:line="240" w:lineRule="auto"/>
      </w:pPr>
      <w:r w:rsidRPr="00FA0E3A">
        <w:t xml:space="preserve">La </w:t>
      </w:r>
      <w:r w:rsidRPr="00FA0E3A">
        <w:rPr>
          <w:b/>
          <w:bCs/>
        </w:rPr>
        <w:t>règle de droit</w:t>
      </w:r>
      <w:r w:rsidRPr="00FA0E3A">
        <w:t xml:space="preserve"> est une règle de conduite destinée à organiser la vie en société et dont le respect peut être assuré par l'autorité publique.</w:t>
      </w:r>
    </w:p>
    <w:p w14:paraId="740A3BC6" w14:textId="5492405B" w:rsidR="00FA0E3A" w:rsidRPr="00FA0E3A" w:rsidRDefault="00FA0E3A" w:rsidP="00275A92">
      <w:pPr>
        <w:spacing w:after="0" w:line="240" w:lineRule="auto"/>
      </w:pPr>
      <w:r w:rsidRPr="00FA0E3A">
        <w:t>Il n'existe pas dans les codes une définition générale unique de la règle de droit. Elle est traditionnellement caractérisée par plusieurs éléments</w:t>
      </w:r>
      <w:r w:rsidR="00275A92">
        <w:t> :</w:t>
      </w:r>
      <w:r w:rsidRPr="00FA0E3A">
        <w:t xml:space="preserve"> elle est </w:t>
      </w:r>
      <w:r w:rsidRPr="00FA0E3A">
        <w:rPr>
          <w:b/>
          <w:bCs/>
        </w:rPr>
        <w:t>générale et impersonnelle</w:t>
      </w:r>
      <w:r w:rsidRPr="00FA0E3A">
        <w:t xml:space="preserve">, </w:t>
      </w:r>
      <w:r w:rsidRPr="00FA0E3A">
        <w:rPr>
          <w:b/>
          <w:bCs/>
        </w:rPr>
        <w:t>obligatoire</w:t>
      </w:r>
      <w:r w:rsidRPr="00FA0E3A">
        <w:t xml:space="preserve"> et susceptible d'être assortie d'une </w:t>
      </w:r>
      <w:r w:rsidRPr="00FA0E3A">
        <w:rPr>
          <w:b/>
          <w:bCs/>
        </w:rPr>
        <w:t>sanction organisée par l'État</w:t>
      </w:r>
      <w:r w:rsidRPr="00FA0E3A">
        <w:t>. Les travaux institutionnels consacrés à la normativité retiennent notamment le caractère obligatoire de la prescription et la sanction de sa méconnaissance parmi les attributs du droit.</w:t>
      </w:r>
    </w:p>
    <w:tbl>
      <w:tblPr>
        <w:tblStyle w:val="Grilledutableau"/>
        <w:tblW w:w="0" w:type="auto"/>
        <w:tblLook w:val="04A0" w:firstRow="1" w:lastRow="0" w:firstColumn="1" w:lastColumn="0" w:noHBand="0" w:noVBand="1"/>
      </w:tblPr>
      <w:tblGrid>
        <w:gridCol w:w="1261"/>
        <w:gridCol w:w="9195"/>
      </w:tblGrid>
      <w:tr w:rsidR="00FA0E3A" w:rsidRPr="00275A92" w14:paraId="3DA433D9" w14:textId="77777777" w:rsidTr="00275A92">
        <w:trPr>
          <w:tblHeader/>
        </w:trPr>
        <w:tc>
          <w:tcPr>
            <w:tcW w:w="0" w:type="auto"/>
            <w:hideMark/>
          </w:tcPr>
          <w:p w14:paraId="47A41E47"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Caractère</w:t>
            </w:r>
          </w:p>
        </w:tc>
        <w:tc>
          <w:tcPr>
            <w:tcW w:w="0" w:type="auto"/>
            <w:hideMark/>
          </w:tcPr>
          <w:p w14:paraId="7E2A73AA"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Signification</w:t>
            </w:r>
          </w:p>
        </w:tc>
      </w:tr>
      <w:tr w:rsidR="00FA0E3A" w:rsidRPr="00275A92" w14:paraId="2EB9DCEC" w14:textId="77777777" w:rsidTr="00275A92">
        <w:tc>
          <w:tcPr>
            <w:tcW w:w="0" w:type="auto"/>
            <w:hideMark/>
          </w:tcPr>
          <w:p w14:paraId="5F65E5AB" w14:textId="77777777" w:rsidR="00FA0E3A" w:rsidRPr="00275A92" w:rsidRDefault="00FA0E3A" w:rsidP="00275A92">
            <w:pPr>
              <w:jc w:val="left"/>
              <w:rPr>
                <w:rFonts w:ascii="Calibri" w:hAnsi="Calibri" w:cs="Calibri"/>
                <w:sz w:val="20"/>
              </w:rPr>
            </w:pPr>
            <w:r w:rsidRPr="00275A92">
              <w:rPr>
                <w:rFonts w:ascii="Calibri" w:hAnsi="Calibri" w:cs="Calibri"/>
                <w:b/>
                <w:bCs/>
                <w:sz w:val="20"/>
              </w:rPr>
              <w:t>Général</w:t>
            </w:r>
          </w:p>
        </w:tc>
        <w:tc>
          <w:tcPr>
            <w:tcW w:w="0" w:type="auto"/>
            <w:hideMark/>
          </w:tcPr>
          <w:p w14:paraId="6328C928" w14:textId="77777777" w:rsidR="00FA0E3A" w:rsidRPr="00275A92" w:rsidRDefault="00FA0E3A" w:rsidP="00275A92">
            <w:pPr>
              <w:jc w:val="left"/>
              <w:rPr>
                <w:rFonts w:ascii="Calibri" w:hAnsi="Calibri" w:cs="Calibri"/>
                <w:sz w:val="20"/>
              </w:rPr>
            </w:pPr>
            <w:r w:rsidRPr="00275A92">
              <w:rPr>
                <w:rFonts w:ascii="Calibri" w:hAnsi="Calibri" w:cs="Calibri"/>
                <w:sz w:val="20"/>
              </w:rPr>
              <w:t>La règle concerne une catégorie de personnes ou de situations et non, en principe, une personne nommément désignée.</w:t>
            </w:r>
          </w:p>
        </w:tc>
      </w:tr>
      <w:tr w:rsidR="00FA0E3A" w:rsidRPr="00275A92" w14:paraId="4A43E53D" w14:textId="77777777" w:rsidTr="00275A92">
        <w:tc>
          <w:tcPr>
            <w:tcW w:w="0" w:type="auto"/>
            <w:hideMark/>
          </w:tcPr>
          <w:p w14:paraId="2B5D17F6" w14:textId="77777777" w:rsidR="00FA0E3A" w:rsidRPr="00275A92" w:rsidRDefault="00FA0E3A" w:rsidP="00275A92">
            <w:pPr>
              <w:jc w:val="left"/>
              <w:rPr>
                <w:rFonts w:ascii="Calibri" w:hAnsi="Calibri" w:cs="Calibri"/>
                <w:sz w:val="20"/>
              </w:rPr>
            </w:pPr>
            <w:r w:rsidRPr="00275A92">
              <w:rPr>
                <w:rFonts w:ascii="Calibri" w:hAnsi="Calibri" w:cs="Calibri"/>
                <w:b/>
                <w:bCs/>
                <w:sz w:val="20"/>
              </w:rPr>
              <w:t>Impersonnel</w:t>
            </w:r>
          </w:p>
        </w:tc>
        <w:tc>
          <w:tcPr>
            <w:tcW w:w="0" w:type="auto"/>
            <w:hideMark/>
          </w:tcPr>
          <w:p w14:paraId="2D6D041F" w14:textId="77777777" w:rsidR="00FA0E3A" w:rsidRPr="00275A92" w:rsidRDefault="00FA0E3A" w:rsidP="00275A92">
            <w:pPr>
              <w:jc w:val="left"/>
              <w:rPr>
                <w:rFonts w:ascii="Calibri" w:hAnsi="Calibri" w:cs="Calibri"/>
                <w:sz w:val="20"/>
              </w:rPr>
            </w:pPr>
            <w:r w:rsidRPr="00275A92">
              <w:rPr>
                <w:rFonts w:ascii="Calibri" w:hAnsi="Calibri" w:cs="Calibri"/>
                <w:sz w:val="20"/>
              </w:rPr>
              <w:t>Elle s'applique à toute personne remplissant les conditions qu'elle prévoit.</w:t>
            </w:r>
          </w:p>
        </w:tc>
      </w:tr>
      <w:tr w:rsidR="00FA0E3A" w:rsidRPr="00275A92" w14:paraId="13B55599" w14:textId="77777777" w:rsidTr="00275A92">
        <w:tc>
          <w:tcPr>
            <w:tcW w:w="0" w:type="auto"/>
            <w:hideMark/>
          </w:tcPr>
          <w:p w14:paraId="29BE360B" w14:textId="77777777" w:rsidR="00FA0E3A" w:rsidRPr="00275A92" w:rsidRDefault="00FA0E3A" w:rsidP="00275A92">
            <w:pPr>
              <w:jc w:val="left"/>
              <w:rPr>
                <w:rFonts w:ascii="Calibri" w:hAnsi="Calibri" w:cs="Calibri"/>
                <w:sz w:val="20"/>
              </w:rPr>
            </w:pPr>
            <w:r w:rsidRPr="00275A92">
              <w:rPr>
                <w:rFonts w:ascii="Calibri" w:hAnsi="Calibri" w:cs="Calibri"/>
                <w:b/>
                <w:bCs/>
                <w:sz w:val="20"/>
              </w:rPr>
              <w:t>Obligatoire</w:t>
            </w:r>
          </w:p>
        </w:tc>
        <w:tc>
          <w:tcPr>
            <w:tcW w:w="0" w:type="auto"/>
            <w:hideMark/>
          </w:tcPr>
          <w:p w14:paraId="012C1885" w14:textId="77777777" w:rsidR="00FA0E3A" w:rsidRPr="00275A92" w:rsidRDefault="00FA0E3A" w:rsidP="00275A92">
            <w:pPr>
              <w:jc w:val="left"/>
              <w:rPr>
                <w:rFonts w:ascii="Calibri" w:hAnsi="Calibri" w:cs="Calibri"/>
                <w:sz w:val="20"/>
              </w:rPr>
            </w:pPr>
            <w:r w:rsidRPr="00275A92">
              <w:rPr>
                <w:rFonts w:ascii="Calibri" w:hAnsi="Calibri" w:cs="Calibri"/>
                <w:sz w:val="20"/>
              </w:rPr>
              <w:t>Ses destinataires doivent la respecter dès lors qu'elle leur est applicable.</w:t>
            </w:r>
          </w:p>
        </w:tc>
      </w:tr>
      <w:tr w:rsidR="00FA0E3A" w:rsidRPr="00275A92" w14:paraId="3637455C" w14:textId="77777777" w:rsidTr="00275A92">
        <w:tc>
          <w:tcPr>
            <w:tcW w:w="0" w:type="auto"/>
            <w:hideMark/>
          </w:tcPr>
          <w:p w14:paraId="2EA199AA" w14:textId="77777777" w:rsidR="00FA0E3A" w:rsidRPr="00275A92" w:rsidRDefault="00FA0E3A" w:rsidP="00275A92">
            <w:pPr>
              <w:jc w:val="left"/>
              <w:rPr>
                <w:rFonts w:ascii="Calibri" w:hAnsi="Calibri" w:cs="Calibri"/>
                <w:sz w:val="20"/>
              </w:rPr>
            </w:pPr>
            <w:r w:rsidRPr="00275A92">
              <w:rPr>
                <w:rFonts w:ascii="Calibri" w:hAnsi="Calibri" w:cs="Calibri"/>
                <w:b/>
                <w:bCs/>
                <w:sz w:val="20"/>
              </w:rPr>
              <w:t>Coercitif</w:t>
            </w:r>
          </w:p>
        </w:tc>
        <w:tc>
          <w:tcPr>
            <w:tcW w:w="0" w:type="auto"/>
            <w:hideMark/>
          </w:tcPr>
          <w:p w14:paraId="0890CDE3" w14:textId="77777777" w:rsidR="00FA0E3A" w:rsidRPr="00275A92" w:rsidRDefault="00FA0E3A" w:rsidP="00275A92">
            <w:pPr>
              <w:jc w:val="left"/>
              <w:rPr>
                <w:rFonts w:ascii="Calibri" w:hAnsi="Calibri" w:cs="Calibri"/>
                <w:sz w:val="20"/>
              </w:rPr>
            </w:pPr>
            <w:r w:rsidRPr="00275A92">
              <w:rPr>
                <w:rFonts w:ascii="Calibri" w:hAnsi="Calibri" w:cs="Calibri"/>
                <w:sz w:val="20"/>
              </w:rPr>
              <w:t>Sa violation peut conduire à l'intervention d'une autorité publique et à une sanction.</w:t>
            </w:r>
          </w:p>
        </w:tc>
      </w:tr>
    </w:tbl>
    <w:p w14:paraId="016CABFC" w14:textId="77777777" w:rsidR="00FA0E3A" w:rsidRPr="00FA0E3A" w:rsidRDefault="00FA0E3A" w:rsidP="00275A92">
      <w:pPr>
        <w:spacing w:after="0" w:line="240" w:lineRule="auto"/>
        <w:rPr>
          <w:b/>
          <w:bCs/>
        </w:rPr>
      </w:pPr>
      <w:r w:rsidRPr="00FA0E3A">
        <w:rPr>
          <w:b/>
          <w:bCs/>
        </w:rPr>
        <w:t>Exemple</w:t>
      </w:r>
    </w:p>
    <w:p w14:paraId="410E9E57" w14:textId="77777777" w:rsidR="00FA0E3A" w:rsidRPr="00FA0E3A" w:rsidRDefault="00FA0E3A" w:rsidP="00275A92">
      <w:pPr>
        <w:spacing w:after="0" w:line="240" w:lineRule="auto"/>
      </w:pPr>
      <w:r w:rsidRPr="00FA0E3A">
        <w:t>La règle interdisant de licencier un salarié en raison de son origine ne vise pas un employeur particulier. Elle s'applique à tous les employeurs placés dans la situation prévue par le texte.</w:t>
      </w:r>
    </w:p>
    <w:p w14:paraId="68DD477F" w14:textId="77777777" w:rsidR="00FA0E3A" w:rsidRPr="00FA0E3A" w:rsidRDefault="00FA0E3A" w:rsidP="00275A92">
      <w:pPr>
        <w:spacing w:after="0" w:line="240" w:lineRule="auto"/>
        <w:rPr>
          <w:b/>
          <w:bCs/>
        </w:rPr>
      </w:pPr>
      <w:r w:rsidRPr="00FA0E3A">
        <w:rPr>
          <w:b/>
          <w:bCs/>
        </w:rPr>
        <w:t>Contre-exemple</w:t>
      </w:r>
    </w:p>
    <w:p w14:paraId="0C0CBAEA" w14:textId="4C3DB866" w:rsidR="00FA0E3A" w:rsidRPr="00FA0E3A" w:rsidRDefault="00FA0E3A" w:rsidP="00275A92">
      <w:pPr>
        <w:spacing w:after="0" w:line="240" w:lineRule="auto"/>
      </w:pPr>
      <w:r w:rsidRPr="00FA0E3A">
        <w:t>La décision d'un employeur d'accorder une prime de 800</w:t>
      </w:r>
      <w:r w:rsidR="00275A92">
        <w:t> €</w:t>
      </w:r>
      <w:r w:rsidRPr="00FA0E3A">
        <w:t xml:space="preserve"> à Mme Dupont est une </w:t>
      </w:r>
      <w:r w:rsidRPr="00FA0E3A">
        <w:rPr>
          <w:b/>
          <w:bCs/>
        </w:rPr>
        <w:t>décision individuelle</w:t>
      </w:r>
      <w:r w:rsidRPr="00FA0E3A">
        <w:t>. Elle produit des effets juridiques, mais ce n'est pas une règle générale et impersonnelle.</w:t>
      </w:r>
    </w:p>
    <w:p w14:paraId="5F6B6C70" w14:textId="77777777" w:rsidR="00FA0E3A" w:rsidRPr="00FA0E3A" w:rsidRDefault="00000000" w:rsidP="00275A92">
      <w:pPr>
        <w:spacing w:after="0" w:line="240" w:lineRule="auto"/>
      </w:pPr>
      <w:r>
        <w:pict w14:anchorId="14251566">
          <v:rect id="_x0000_i1026" style="width:0;height:1.5pt" o:hralign="center" o:hrstd="t" o:hr="t" fillcolor="#a0a0a0" stroked="f"/>
        </w:pict>
      </w:r>
    </w:p>
    <w:p w14:paraId="372BDED4" w14:textId="77777777" w:rsidR="00FA0E3A" w:rsidRPr="00FA0E3A" w:rsidRDefault="00FA0E3A" w:rsidP="00275A92">
      <w:pPr>
        <w:spacing w:after="0" w:line="240" w:lineRule="auto"/>
        <w:rPr>
          <w:b/>
          <w:bCs/>
        </w:rPr>
      </w:pPr>
      <w:r w:rsidRPr="00FA0E3A">
        <w:rPr>
          <w:b/>
          <w:bCs/>
        </w:rPr>
        <w:t>1.2 Règle de droit et règle morale</w:t>
      </w:r>
    </w:p>
    <w:p w14:paraId="29103233" w14:textId="77777777" w:rsidR="00FA0E3A" w:rsidRPr="00FA0E3A" w:rsidRDefault="00FA0E3A" w:rsidP="00275A92">
      <w:pPr>
        <w:spacing w:after="0" w:line="240" w:lineRule="auto"/>
      </w:pPr>
      <w:r w:rsidRPr="00FA0E3A">
        <w:t xml:space="preserve">La règle juridique doit être distinguée de la </w:t>
      </w:r>
      <w:r w:rsidRPr="00FA0E3A">
        <w:rPr>
          <w:b/>
          <w:bCs/>
        </w:rPr>
        <w:t>règle morale</w:t>
      </w:r>
      <w:r w:rsidRPr="00FA0E3A">
        <w:t>.</w:t>
      </w:r>
    </w:p>
    <w:tbl>
      <w:tblPr>
        <w:tblStyle w:val="Grilledutableau"/>
        <w:tblW w:w="0" w:type="auto"/>
        <w:tblLook w:val="04A0" w:firstRow="1" w:lastRow="0" w:firstColumn="1" w:lastColumn="0" w:noHBand="0" w:noVBand="1"/>
      </w:tblPr>
      <w:tblGrid>
        <w:gridCol w:w="4005"/>
        <w:gridCol w:w="6067"/>
      </w:tblGrid>
      <w:tr w:rsidR="00FA0E3A" w:rsidRPr="00275A92" w14:paraId="2890A964" w14:textId="77777777" w:rsidTr="00275A92">
        <w:trPr>
          <w:tblHeader/>
        </w:trPr>
        <w:tc>
          <w:tcPr>
            <w:tcW w:w="0" w:type="auto"/>
            <w:hideMark/>
          </w:tcPr>
          <w:p w14:paraId="6D62976E"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Règle de droit</w:t>
            </w:r>
          </w:p>
        </w:tc>
        <w:tc>
          <w:tcPr>
            <w:tcW w:w="0" w:type="auto"/>
            <w:hideMark/>
          </w:tcPr>
          <w:p w14:paraId="7A584D0B"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Règle morale</w:t>
            </w:r>
          </w:p>
        </w:tc>
      </w:tr>
      <w:tr w:rsidR="00FA0E3A" w:rsidRPr="00275A92" w14:paraId="673A3510" w14:textId="77777777" w:rsidTr="00275A92">
        <w:tc>
          <w:tcPr>
            <w:tcW w:w="0" w:type="auto"/>
            <w:hideMark/>
          </w:tcPr>
          <w:p w14:paraId="50BF27AF" w14:textId="77777777" w:rsidR="00FA0E3A" w:rsidRPr="00275A92" w:rsidRDefault="00FA0E3A" w:rsidP="00275A92">
            <w:pPr>
              <w:jc w:val="left"/>
              <w:rPr>
                <w:rFonts w:ascii="Calibri" w:hAnsi="Calibri" w:cs="Calibri"/>
                <w:sz w:val="20"/>
              </w:rPr>
            </w:pPr>
            <w:r w:rsidRPr="00275A92">
              <w:rPr>
                <w:rFonts w:ascii="Calibri" w:hAnsi="Calibri" w:cs="Calibri"/>
                <w:sz w:val="20"/>
              </w:rPr>
              <w:t>Organise les rapports sociaux</w:t>
            </w:r>
          </w:p>
        </w:tc>
        <w:tc>
          <w:tcPr>
            <w:tcW w:w="0" w:type="auto"/>
            <w:hideMark/>
          </w:tcPr>
          <w:p w14:paraId="506253EB" w14:textId="77777777" w:rsidR="00FA0E3A" w:rsidRPr="00275A92" w:rsidRDefault="00FA0E3A" w:rsidP="00275A92">
            <w:pPr>
              <w:jc w:val="left"/>
              <w:rPr>
                <w:rFonts w:ascii="Calibri" w:hAnsi="Calibri" w:cs="Calibri"/>
                <w:sz w:val="20"/>
              </w:rPr>
            </w:pPr>
            <w:r w:rsidRPr="00275A92">
              <w:rPr>
                <w:rFonts w:ascii="Calibri" w:hAnsi="Calibri" w:cs="Calibri"/>
                <w:sz w:val="20"/>
              </w:rPr>
              <w:t>Détermine ce qui est considéré comme bien ou mal</w:t>
            </w:r>
          </w:p>
        </w:tc>
      </w:tr>
      <w:tr w:rsidR="00FA0E3A" w:rsidRPr="00275A92" w14:paraId="28375C24" w14:textId="77777777" w:rsidTr="00275A92">
        <w:tc>
          <w:tcPr>
            <w:tcW w:w="0" w:type="auto"/>
            <w:hideMark/>
          </w:tcPr>
          <w:p w14:paraId="3F1286B9" w14:textId="77777777" w:rsidR="00FA0E3A" w:rsidRPr="00275A92" w:rsidRDefault="00FA0E3A" w:rsidP="00275A92">
            <w:pPr>
              <w:jc w:val="left"/>
              <w:rPr>
                <w:rFonts w:ascii="Calibri" w:hAnsi="Calibri" w:cs="Calibri"/>
                <w:sz w:val="20"/>
              </w:rPr>
            </w:pPr>
            <w:r w:rsidRPr="00275A92">
              <w:rPr>
                <w:rFonts w:ascii="Calibri" w:hAnsi="Calibri" w:cs="Calibri"/>
                <w:sz w:val="20"/>
              </w:rPr>
              <w:t>Provient d'une source juridiquement reconnue</w:t>
            </w:r>
          </w:p>
        </w:tc>
        <w:tc>
          <w:tcPr>
            <w:tcW w:w="0" w:type="auto"/>
            <w:hideMark/>
          </w:tcPr>
          <w:p w14:paraId="44C72DDD" w14:textId="77777777" w:rsidR="00FA0E3A" w:rsidRPr="00275A92" w:rsidRDefault="00FA0E3A" w:rsidP="00275A92">
            <w:pPr>
              <w:jc w:val="left"/>
              <w:rPr>
                <w:rFonts w:ascii="Calibri" w:hAnsi="Calibri" w:cs="Calibri"/>
                <w:sz w:val="20"/>
              </w:rPr>
            </w:pPr>
            <w:r w:rsidRPr="00275A92">
              <w:rPr>
                <w:rFonts w:ascii="Calibri" w:hAnsi="Calibri" w:cs="Calibri"/>
                <w:sz w:val="20"/>
              </w:rPr>
              <w:t>Provient notamment de la conscience individuelle ou de valeurs sociales</w:t>
            </w:r>
          </w:p>
        </w:tc>
      </w:tr>
      <w:tr w:rsidR="00FA0E3A" w:rsidRPr="00275A92" w14:paraId="18D4DF09" w14:textId="77777777" w:rsidTr="00275A92">
        <w:tc>
          <w:tcPr>
            <w:tcW w:w="0" w:type="auto"/>
            <w:hideMark/>
          </w:tcPr>
          <w:p w14:paraId="6ED69749" w14:textId="77777777" w:rsidR="00FA0E3A" w:rsidRPr="00275A92" w:rsidRDefault="00FA0E3A" w:rsidP="00275A92">
            <w:pPr>
              <w:jc w:val="left"/>
              <w:rPr>
                <w:rFonts w:ascii="Calibri" w:hAnsi="Calibri" w:cs="Calibri"/>
                <w:sz w:val="20"/>
              </w:rPr>
            </w:pPr>
            <w:r w:rsidRPr="00275A92">
              <w:rPr>
                <w:rFonts w:ascii="Calibri" w:hAnsi="Calibri" w:cs="Calibri"/>
                <w:sz w:val="20"/>
              </w:rPr>
              <w:t>Peut être imposée par l'autorité publique</w:t>
            </w:r>
          </w:p>
        </w:tc>
        <w:tc>
          <w:tcPr>
            <w:tcW w:w="0" w:type="auto"/>
            <w:hideMark/>
          </w:tcPr>
          <w:p w14:paraId="3976ACED" w14:textId="77777777" w:rsidR="00FA0E3A" w:rsidRPr="00275A92" w:rsidRDefault="00FA0E3A" w:rsidP="00275A92">
            <w:pPr>
              <w:jc w:val="left"/>
              <w:rPr>
                <w:rFonts w:ascii="Calibri" w:hAnsi="Calibri" w:cs="Calibri"/>
                <w:sz w:val="20"/>
              </w:rPr>
            </w:pPr>
            <w:r w:rsidRPr="00275A92">
              <w:rPr>
                <w:rFonts w:ascii="Calibri" w:hAnsi="Calibri" w:cs="Calibri"/>
                <w:sz w:val="20"/>
              </w:rPr>
              <w:t>Sa sanction est essentiellement personnelle ou sociale</w:t>
            </w:r>
          </w:p>
        </w:tc>
      </w:tr>
      <w:tr w:rsidR="00FA0E3A" w:rsidRPr="00275A92" w14:paraId="5DAE4B13" w14:textId="77777777" w:rsidTr="00275A92">
        <w:tc>
          <w:tcPr>
            <w:tcW w:w="0" w:type="auto"/>
            <w:hideMark/>
          </w:tcPr>
          <w:p w14:paraId="397D1511" w14:textId="77777777" w:rsidR="00FA0E3A" w:rsidRPr="00275A92" w:rsidRDefault="00FA0E3A" w:rsidP="00275A92">
            <w:pPr>
              <w:jc w:val="left"/>
              <w:rPr>
                <w:rFonts w:ascii="Calibri" w:hAnsi="Calibri" w:cs="Calibri"/>
                <w:sz w:val="20"/>
              </w:rPr>
            </w:pPr>
            <w:r w:rsidRPr="00275A92">
              <w:rPr>
                <w:rFonts w:ascii="Calibri" w:hAnsi="Calibri" w:cs="Calibri"/>
                <w:sz w:val="20"/>
              </w:rPr>
              <w:t>Peut donner lieu à une sanction juridique</w:t>
            </w:r>
          </w:p>
        </w:tc>
        <w:tc>
          <w:tcPr>
            <w:tcW w:w="0" w:type="auto"/>
            <w:hideMark/>
          </w:tcPr>
          <w:p w14:paraId="0E9DFAE1" w14:textId="77777777" w:rsidR="00FA0E3A" w:rsidRPr="00275A92" w:rsidRDefault="00FA0E3A" w:rsidP="00275A92">
            <w:pPr>
              <w:jc w:val="left"/>
              <w:rPr>
                <w:rFonts w:ascii="Calibri" w:hAnsi="Calibri" w:cs="Calibri"/>
                <w:sz w:val="20"/>
              </w:rPr>
            </w:pPr>
            <w:r w:rsidRPr="00275A92">
              <w:rPr>
                <w:rFonts w:ascii="Calibri" w:hAnsi="Calibri" w:cs="Calibri"/>
                <w:sz w:val="20"/>
              </w:rPr>
              <w:t>Ne donne pas, par elle-même, lieu à une sanction juridique</w:t>
            </w:r>
          </w:p>
        </w:tc>
      </w:tr>
    </w:tbl>
    <w:p w14:paraId="028300BB" w14:textId="77777777" w:rsidR="00FA0E3A" w:rsidRPr="00FA0E3A" w:rsidRDefault="00FA0E3A" w:rsidP="00275A92">
      <w:pPr>
        <w:spacing w:after="0" w:line="240" w:lineRule="auto"/>
      </w:pPr>
      <w:r w:rsidRPr="00FA0E3A">
        <w:t>Les deux peuvent néanmoins se rejoindre. Une obligation d'abord morale peut être consacrée par le droit.</w:t>
      </w:r>
    </w:p>
    <w:p w14:paraId="76BFBDD4" w14:textId="77777777" w:rsidR="00FA0E3A" w:rsidRPr="00FA0E3A" w:rsidRDefault="00FA0E3A" w:rsidP="00275A92">
      <w:pPr>
        <w:spacing w:after="0" w:line="240" w:lineRule="auto"/>
        <w:rPr>
          <w:b/>
          <w:bCs/>
        </w:rPr>
      </w:pPr>
      <w:r w:rsidRPr="00FA0E3A">
        <w:rPr>
          <w:b/>
          <w:bCs/>
        </w:rPr>
        <w:t>Exemple</w:t>
      </w:r>
    </w:p>
    <w:p w14:paraId="34E25B31" w14:textId="77777777" w:rsidR="00FA0E3A" w:rsidRPr="00FA0E3A" w:rsidRDefault="00FA0E3A" w:rsidP="00275A92">
      <w:pPr>
        <w:spacing w:after="0" w:line="240" w:lineRule="auto"/>
      </w:pPr>
      <w:r w:rsidRPr="00FA0E3A">
        <w:t>Aider spontanément une personne rencontrant une difficulté financière peut constituer un comportement moral sans constituer une obligation juridique générale.</w:t>
      </w:r>
    </w:p>
    <w:p w14:paraId="6AD123DD" w14:textId="77777777" w:rsidR="00FA0E3A" w:rsidRPr="00FA0E3A" w:rsidRDefault="00FA0E3A" w:rsidP="00275A92">
      <w:pPr>
        <w:spacing w:after="0" w:line="240" w:lineRule="auto"/>
      </w:pPr>
      <w:r w:rsidRPr="00FA0E3A">
        <w:t xml:space="preserve">En revanche, lorsque la loi institue une </w:t>
      </w:r>
      <w:r w:rsidRPr="00FA0E3A">
        <w:rPr>
          <w:b/>
          <w:bCs/>
        </w:rPr>
        <w:t>obligation alimentaire</w:t>
      </w:r>
      <w:r w:rsidRPr="00FA0E3A">
        <w:t xml:space="preserve"> entre certaines personnes, le comportement attendu devient juridiquement obligatoire.</w:t>
      </w:r>
    </w:p>
    <w:p w14:paraId="7459D6E9" w14:textId="77777777" w:rsidR="00FA0E3A" w:rsidRPr="00FA0E3A" w:rsidRDefault="00FA0E3A" w:rsidP="00275A92">
      <w:pPr>
        <w:spacing w:after="0" w:line="240" w:lineRule="auto"/>
        <w:rPr>
          <w:b/>
          <w:bCs/>
        </w:rPr>
      </w:pPr>
      <w:r w:rsidRPr="00FA0E3A">
        <w:rPr>
          <w:b/>
          <w:bCs/>
        </w:rPr>
        <w:t>À ne pas confondre</w:t>
      </w:r>
    </w:p>
    <w:p w14:paraId="35968BC7" w14:textId="77777777" w:rsidR="00FA0E3A" w:rsidRPr="00FA0E3A" w:rsidRDefault="00FA0E3A" w:rsidP="00275A92">
      <w:pPr>
        <w:spacing w:after="0" w:line="240" w:lineRule="auto"/>
      </w:pPr>
      <w:r w:rsidRPr="00FA0E3A">
        <w:t>Le fait qu'une règle paraisse moralement souhaitable ne suffit pas à en faire une règle de droit. Inversement, le caractère juridiquement obligatoire d'une règle ne dépend pas de l'opinion personnelle de son destinataire sur son bien-fondé.</w:t>
      </w:r>
    </w:p>
    <w:p w14:paraId="6B7D10C1" w14:textId="77777777" w:rsidR="00FA0E3A" w:rsidRPr="00FA0E3A" w:rsidRDefault="00000000" w:rsidP="00275A92">
      <w:pPr>
        <w:spacing w:after="0" w:line="240" w:lineRule="auto"/>
      </w:pPr>
      <w:r>
        <w:pict w14:anchorId="6DB2B2CF">
          <v:rect id="_x0000_i1027" style="width:0;height:1.5pt" o:hralign="center" o:hrstd="t" o:hr="t" fillcolor="#a0a0a0" stroked="f"/>
        </w:pict>
      </w:r>
    </w:p>
    <w:p w14:paraId="37F8B68C" w14:textId="77777777" w:rsidR="00FA0E3A" w:rsidRPr="00FA0E3A" w:rsidRDefault="00FA0E3A" w:rsidP="00275A92">
      <w:pPr>
        <w:pStyle w:val="Titre1"/>
      </w:pPr>
      <w:r w:rsidRPr="00FA0E3A">
        <w:t>2. Les principales sources du droit</w:t>
      </w:r>
    </w:p>
    <w:p w14:paraId="5B7FEB34" w14:textId="77777777" w:rsidR="00FA0E3A" w:rsidRPr="00FA0E3A" w:rsidRDefault="00FA0E3A" w:rsidP="00275A92">
      <w:pPr>
        <w:spacing w:after="0" w:line="240" w:lineRule="auto"/>
      </w:pPr>
      <w:r w:rsidRPr="00FA0E3A">
        <w:t xml:space="preserve">Une </w:t>
      </w:r>
      <w:r w:rsidRPr="00FA0E3A">
        <w:rPr>
          <w:b/>
          <w:bCs/>
        </w:rPr>
        <w:t>source du droit</w:t>
      </w:r>
      <w:r w:rsidRPr="00FA0E3A">
        <w:t xml:space="preserve"> est un mode de production ou d'expression des règles juridiques.</w:t>
      </w:r>
    </w:p>
    <w:p w14:paraId="556F1BA1" w14:textId="79015A53" w:rsidR="00FA0E3A" w:rsidRPr="00FA0E3A" w:rsidRDefault="00FA0E3A" w:rsidP="00275A92">
      <w:pPr>
        <w:spacing w:after="0" w:line="240" w:lineRule="auto"/>
      </w:pPr>
      <w:r w:rsidRPr="00FA0E3A">
        <w:t>Les sources ne disposent pas toutes de la même valeur. Certaines appartiennent à une véritable hiérarchie normative</w:t>
      </w:r>
      <w:r w:rsidR="00275A92">
        <w:t> ;</w:t>
      </w:r>
      <w:r w:rsidRPr="00FA0E3A">
        <w:t xml:space="preserve"> d'autres, comme la jurisprudence ou la doctrine, jouent principalement un rôle d'interprétation.</w:t>
      </w:r>
    </w:p>
    <w:p w14:paraId="2283E55A" w14:textId="77777777" w:rsidR="00FA0E3A" w:rsidRPr="00FA0E3A" w:rsidRDefault="00FA0E3A" w:rsidP="00275A92">
      <w:pPr>
        <w:spacing w:after="0" w:line="240" w:lineRule="auto"/>
        <w:rPr>
          <w:b/>
          <w:bCs/>
        </w:rPr>
      </w:pPr>
      <w:r w:rsidRPr="00FA0E3A">
        <w:rPr>
          <w:b/>
          <w:bCs/>
        </w:rPr>
        <w:t>2.1 Le bloc de constitutionnalité</w:t>
      </w:r>
    </w:p>
    <w:p w14:paraId="39027CD2" w14:textId="77777777" w:rsidR="00FA0E3A" w:rsidRPr="00FA0E3A" w:rsidRDefault="00FA0E3A" w:rsidP="00275A92">
      <w:pPr>
        <w:spacing w:after="0" w:line="240" w:lineRule="auto"/>
      </w:pPr>
      <w:r w:rsidRPr="00FA0E3A">
        <w:lastRenderedPageBreak/>
        <w:t>La Constitution est, dans l'ordre juridique interne français, la norme de référence supérieure.</w:t>
      </w:r>
    </w:p>
    <w:p w14:paraId="2F7B56F0" w14:textId="034789DA" w:rsidR="00FA0E3A" w:rsidRPr="00FA0E3A" w:rsidRDefault="00FA0E3A" w:rsidP="00275A92">
      <w:pPr>
        <w:spacing w:after="0" w:line="240" w:lineRule="auto"/>
      </w:pPr>
      <w:r w:rsidRPr="00FA0E3A">
        <w:t xml:space="preserve">Le </w:t>
      </w:r>
      <w:r w:rsidRPr="00FA0E3A">
        <w:rPr>
          <w:b/>
          <w:bCs/>
        </w:rPr>
        <w:t>bloc de constitutionnalité</w:t>
      </w:r>
      <w:r w:rsidRPr="00FA0E3A">
        <w:t xml:space="preserve"> comprend notamment</w:t>
      </w:r>
      <w:r w:rsidR="00275A92">
        <w:t> :</w:t>
      </w:r>
    </w:p>
    <w:p w14:paraId="29C2F614" w14:textId="604EDC41" w:rsidR="00FA0E3A" w:rsidRPr="00FA0E3A" w:rsidRDefault="00FA0E3A" w:rsidP="00275A92">
      <w:pPr>
        <w:numPr>
          <w:ilvl w:val="0"/>
          <w:numId w:val="17"/>
        </w:numPr>
        <w:spacing w:after="0" w:line="240" w:lineRule="auto"/>
      </w:pPr>
      <w:r w:rsidRPr="00FA0E3A">
        <w:t>la Constitution du 4 octobre 1958 et son Préambule</w:t>
      </w:r>
      <w:r w:rsidR="00275A92">
        <w:t> ;</w:t>
      </w:r>
    </w:p>
    <w:p w14:paraId="37671C48" w14:textId="490AD42E" w:rsidR="00FA0E3A" w:rsidRPr="00FA0E3A" w:rsidRDefault="00FA0E3A" w:rsidP="00275A92">
      <w:pPr>
        <w:numPr>
          <w:ilvl w:val="0"/>
          <w:numId w:val="17"/>
        </w:numPr>
        <w:spacing w:after="0" w:line="240" w:lineRule="auto"/>
      </w:pPr>
      <w:r w:rsidRPr="00FA0E3A">
        <w:t>la Déclaration des droits de l'homme et du citoyen du 26 août 1789</w:t>
      </w:r>
      <w:r w:rsidR="00275A92">
        <w:t> ;</w:t>
      </w:r>
    </w:p>
    <w:p w14:paraId="09B4C6C8" w14:textId="649D4059" w:rsidR="00FA0E3A" w:rsidRPr="00FA0E3A" w:rsidRDefault="00FA0E3A" w:rsidP="00275A92">
      <w:pPr>
        <w:numPr>
          <w:ilvl w:val="0"/>
          <w:numId w:val="17"/>
        </w:numPr>
        <w:spacing w:after="0" w:line="240" w:lineRule="auto"/>
      </w:pPr>
      <w:r w:rsidRPr="00FA0E3A">
        <w:t>le Préambule de la Constitution du 27 octobre 1946</w:t>
      </w:r>
      <w:r w:rsidR="00275A92">
        <w:t> ;</w:t>
      </w:r>
    </w:p>
    <w:p w14:paraId="773AAB36" w14:textId="31B29406" w:rsidR="00FA0E3A" w:rsidRPr="00FA0E3A" w:rsidRDefault="00FA0E3A" w:rsidP="00275A92">
      <w:pPr>
        <w:numPr>
          <w:ilvl w:val="0"/>
          <w:numId w:val="17"/>
        </w:numPr>
        <w:spacing w:after="0" w:line="240" w:lineRule="auto"/>
      </w:pPr>
      <w:r w:rsidRPr="00FA0E3A">
        <w:t>la Charte de l'environnement de 2004</w:t>
      </w:r>
      <w:r w:rsidR="00275A92">
        <w:t> ;</w:t>
      </w:r>
    </w:p>
    <w:p w14:paraId="20C73E8A" w14:textId="77777777" w:rsidR="00FA0E3A" w:rsidRPr="00FA0E3A" w:rsidRDefault="00FA0E3A" w:rsidP="00275A92">
      <w:pPr>
        <w:numPr>
          <w:ilvl w:val="0"/>
          <w:numId w:val="17"/>
        </w:numPr>
        <w:spacing w:after="0" w:line="240" w:lineRule="auto"/>
      </w:pPr>
      <w:r w:rsidRPr="00FA0E3A">
        <w:t>les principes fondamentaux reconnus par les lois de la République ainsi que les autres principes et exigences auxquels le Conseil constitutionnel reconnaît une valeur constitutionnelle.</w:t>
      </w:r>
    </w:p>
    <w:p w14:paraId="16B6FACB" w14:textId="77777777" w:rsidR="00FA0E3A" w:rsidRPr="00FA0E3A" w:rsidRDefault="00FA0E3A" w:rsidP="00275A92">
      <w:pPr>
        <w:spacing w:after="0" w:line="240" w:lineRule="auto"/>
      </w:pPr>
      <w:r w:rsidRPr="00FA0E3A">
        <w:t>Le Conseil constitutionnel utilise cet ensemble pour apprécier la constitutionnalité des lois.</w:t>
      </w:r>
    </w:p>
    <w:p w14:paraId="04BFFC3E" w14:textId="77777777" w:rsidR="00FA0E3A" w:rsidRPr="00FA0E3A" w:rsidRDefault="00FA0E3A" w:rsidP="00275A92">
      <w:pPr>
        <w:spacing w:after="0" w:line="240" w:lineRule="auto"/>
        <w:rPr>
          <w:b/>
          <w:bCs/>
        </w:rPr>
      </w:pPr>
      <w:r w:rsidRPr="00FA0E3A">
        <w:rPr>
          <w:b/>
          <w:bCs/>
        </w:rPr>
        <w:t>Exemple</w:t>
      </w:r>
    </w:p>
    <w:p w14:paraId="543C765E" w14:textId="77777777" w:rsidR="00FA0E3A" w:rsidRPr="00FA0E3A" w:rsidRDefault="00FA0E3A" w:rsidP="00275A92">
      <w:pPr>
        <w:spacing w:after="0" w:line="240" w:lineRule="auto"/>
      </w:pPr>
      <w:r w:rsidRPr="00FA0E3A">
        <w:t>Le principe d'égalité devant la loi trouve notamment son fondement dans la Déclaration des droits de l'homme et du citoyen de 1789. Une loi qui établirait une différence de traitement injustifiée peut donc être confrontée à une norme de valeur constitutionnelle.</w:t>
      </w:r>
    </w:p>
    <w:p w14:paraId="2E95D58E" w14:textId="77777777" w:rsidR="00FA0E3A" w:rsidRPr="00FA0E3A" w:rsidRDefault="00000000" w:rsidP="00275A92">
      <w:pPr>
        <w:spacing w:after="0" w:line="240" w:lineRule="auto"/>
      </w:pPr>
      <w:r>
        <w:pict w14:anchorId="7B829759">
          <v:rect id="_x0000_i1028" style="width:0;height:1.5pt" o:hralign="center" o:hrstd="t" o:hr="t" fillcolor="#a0a0a0" stroked="f"/>
        </w:pict>
      </w:r>
    </w:p>
    <w:p w14:paraId="452E8785" w14:textId="77777777" w:rsidR="00FA0E3A" w:rsidRPr="00FA0E3A" w:rsidRDefault="00FA0E3A" w:rsidP="00275A92">
      <w:pPr>
        <w:pStyle w:val="Titre1"/>
      </w:pPr>
      <w:r w:rsidRPr="00FA0E3A">
        <w:t>3. Les engagements internationaux</w:t>
      </w:r>
    </w:p>
    <w:p w14:paraId="2511D87A" w14:textId="77777777" w:rsidR="00FA0E3A" w:rsidRPr="00FA0E3A" w:rsidRDefault="00FA0E3A" w:rsidP="00275A92">
      <w:pPr>
        <w:spacing w:after="0" w:line="240" w:lineRule="auto"/>
      </w:pPr>
      <w:r w:rsidRPr="00FA0E3A">
        <w:t>Les traités et accords internationaux régulièrement introduits dans l'ordre juridique français peuvent s'imposer au droit national.</w:t>
      </w:r>
    </w:p>
    <w:p w14:paraId="38AA8E06" w14:textId="77777777" w:rsidR="00FA0E3A" w:rsidRPr="00FA0E3A" w:rsidRDefault="00FA0E3A" w:rsidP="00275A92">
      <w:pPr>
        <w:spacing w:after="0" w:line="240" w:lineRule="auto"/>
      </w:pPr>
      <w:r w:rsidRPr="00FA0E3A">
        <w:t xml:space="preserve">La Constitution prévoit que les </w:t>
      </w:r>
      <w:r w:rsidRPr="00FA0E3A">
        <w:rPr>
          <w:b/>
          <w:bCs/>
        </w:rPr>
        <w:t>traités ou accords régulièrement ratifiés ou approuvés et publiés</w:t>
      </w:r>
      <w:r w:rsidRPr="00FA0E3A">
        <w:t xml:space="preserve"> disposent, sous les conditions prévues par son article 55, d'une autorité supérieure à celle des lois.</w:t>
      </w:r>
    </w:p>
    <w:p w14:paraId="02173D85" w14:textId="77777777" w:rsidR="00FA0E3A" w:rsidRPr="00FA0E3A" w:rsidRDefault="00FA0E3A" w:rsidP="00275A92">
      <w:pPr>
        <w:spacing w:after="0" w:line="240" w:lineRule="auto"/>
      </w:pPr>
      <w:r w:rsidRPr="00FA0E3A">
        <w:t>Cela signifie qu'une loi française ne peut normalement pas être appliquée lorsqu'elle est incompatible avec un engagement international directement applicable qui lui est supérieur.</w:t>
      </w:r>
    </w:p>
    <w:p w14:paraId="509FD9C7" w14:textId="77777777" w:rsidR="00FA0E3A" w:rsidRPr="00FA0E3A" w:rsidRDefault="00FA0E3A" w:rsidP="00275A92">
      <w:pPr>
        <w:spacing w:after="0" w:line="240" w:lineRule="auto"/>
        <w:rPr>
          <w:b/>
          <w:bCs/>
        </w:rPr>
      </w:pPr>
      <w:r w:rsidRPr="00FA0E3A">
        <w:rPr>
          <w:b/>
          <w:bCs/>
        </w:rPr>
        <w:t>Une distinction essentielle</w:t>
      </w:r>
    </w:p>
    <w:p w14:paraId="1F72858F" w14:textId="4E392DF0" w:rsidR="00FA0E3A" w:rsidRPr="00FA0E3A" w:rsidRDefault="00FA0E3A" w:rsidP="00275A92">
      <w:pPr>
        <w:spacing w:after="0" w:line="240" w:lineRule="auto"/>
      </w:pPr>
      <w:r w:rsidRPr="00FA0E3A">
        <w:t xml:space="preserve">Dans </w:t>
      </w:r>
      <w:r w:rsidRPr="00FA0E3A">
        <w:rPr>
          <w:b/>
          <w:bCs/>
        </w:rPr>
        <w:t>l'ordre juridique interne français</w:t>
      </w:r>
      <w:r w:rsidRPr="00FA0E3A">
        <w:t>, la Constitution demeure supérieure aux engagements internationaux. Le Conseil d'État l'a expressément affirmé dans l'arrêt</w:t>
      </w:r>
      <w:r w:rsidR="00275A92">
        <w:t> :</w:t>
      </w:r>
    </w:p>
    <w:p w14:paraId="077A7666" w14:textId="77777777" w:rsidR="00FA0E3A" w:rsidRPr="00FA0E3A" w:rsidRDefault="00FA0E3A" w:rsidP="00275A92">
      <w:pPr>
        <w:spacing w:after="0" w:line="240" w:lineRule="auto"/>
      </w:pPr>
      <w:r w:rsidRPr="00FA0E3A">
        <w:rPr>
          <w:b/>
          <w:bCs/>
        </w:rPr>
        <w:t>Conseil d'État, Assemblée, 30 octobre 1998, Sarran, Levacher et autres, nos 200286 et 200287.</w:t>
      </w:r>
    </w:p>
    <w:p w14:paraId="001CEA6B" w14:textId="6FD035FF" w:rsidR="00FA0E3A" w:rsidRPr="00FA0E3A" w:rsidRDefault="00FA0E3A" w:rsidP="00275A92">
      <w:pPr>
        <w:spacing w:after="0" w:line="240" w:lineRule="auto"/>
      </w:pPr>
      <w:r w:rsidRPr="00FA0E3A">
        <w:t>Ainsi, la représentation simplifiée n'est pas</w:t>
      </w:r>
      <w:r w:rsidR="00275A92">
        <w:t> :</w:t>
      </w:r>
    </w:p>
    <w:p w14:paraId="7059C9A9" w14:textId="77777777" w:rsidR="00FA0E3A" w:rsidRPr="00FA0E3A" w:rsidRDefault="00FA0E3A" w:rsidP="00275A92">
      <w:pPr>
        <w:spacing w:after="0" w:line="240" w:lineRule="auto"/>
      </w:pPr>
      <w:r w:rsidRPr="00FA0E3A">
        <w:t>Traité &gt; Constitution.</w:t>
      </w:r>
    </w:p>
    <w:p w14:paraId="3F9A3A7A" w14:textId="20895CD6" w:rsidR="00FA0E3A" w:rsidRPr="00FA0E3A" w:rsidRDefault="00FA0E3A" w:rsidP="00275A92">
      <w:pPr>
        <w:spacing w:after="0" w:line="240" w:lineRule="auto"/>
      </w:pPr>
      <w:r w:rsidRPr="00FA0E3A">
        <w:t>Elle est, dans l'ordre juridique interne français</w:t>
      </w:r>
      <w:r w:rsidR="00275A92">
        <w:t> :</w:t>
      </w:r>
    </w:p>
    <w:p w14:paraId="1AC239B5" w14:textId="77777777" w:rsidR="00FA0E3A" w:rsidRPr="00FA0E3A" w:rsidRDefault="00FA0E3A" w:rsidP="00275A92">
      <w:pPr>
        <w:spacing w:after="0" w:line="240" w:lineRule="auto"/>
      </w:pPr>
      <w:r w:rsidRPr="00FA0E3A">
        <w:rPr>
          <w:b/>
          <w:bCs/>
        </w:rPr>
        <w:t>Constitution → engagements internationaux → lois.</w:t>
      </w:r>
    </w:p>
    <w:p w14:paraId="282C90FF" w14:textId="3A3C0D6B" w:rsidR="00FA0E3A" w:rsidRPr="00FA0E3A" w:rsidRDefault="00FA0E3A" w:rsidP="00275A92">
      <w:pPr>
        <w:spacing w:after="0" w:line="240" w:lineRule="auto"/>
      </w:pPr>
      <w:r w:rsidRPr="00FA0E3A">
        <w:t>L'article 54 de la Constitution organise d'ailleurs l'hypothèse dans laquelle un engagement international comporte une clause contraire à la Constitution</w:t>
      </w:r>
      <w:r w:rsidR="00275A92">
        <w:t> :</w:t>
      </w:r>
      <w:r w:rsidRPr="00FA0E3A">
        <w:t xml:space="preserve"> sa ratification ne peut alors intervenir qu'après une révision constitutionnelle.</w:t>
      </w:r>
    </w:p>
    <w:p w14:paraId="50C361F9" w14:textId="77777777" w:rsidR="00FA0E3A" w:rsidRPr="00FA0E3A" w:rsidRDefault="00000000" w:rsidP="00275A92">
      <w:pPr>
        <w:spacing w:after="0" w:line="240" w:lineRule="auto"/>
      </w:pPr>
      <w:r>
        <w:pict w14:anchorId="5BF51DC0">
          <v:rect id="_x0000_i1029" style="width:0;height:1.5pt" o:hralign="center" o:hrstd="t" o:hr="t" fillcolor="#a0a0a0" stroked="f"/>
        </w:pict>
      </w:r>
    </w:p>
    <w:p w14:paraId="72927767" w14:textId="77777777" w:rsidR="00FA0E3A" w:rsidRPr="00FA0E3A" w:rsidRDefault="00FA0E3A" w:rsidP="00275A92">
      <w:pPr>
        <w:pStyle w:val="Titre1"/>
      </w:pPr>
      <w:r w:rsidRPr="00FA0E3A">
        <w:t>4. Le droit de l'Union européenne</w:t>
      </w:r>
    </w:p>
    <w:p w14:paraId="77FBA479" w14:textId="77777777" w:rsidR="00FA0E3A" w:rsidRPr="00FA0E3A" w:rsidRDefault="00FA0E3A" w:rsidP="00275A92">
      <w:pPr>
        <w:spacing w:after="0" w:line="240" w:lineRule="auto"/>
      </w:pPr>
      <w:r w:rsidRPr="00FA0E3A">
        <w:t>Le droit de l'Union européenne occupe une place particulière.</w:t>
      </w:r>
    </w:p>
    <w:p w14:paraId="0BE1B21E" w14:textId="0039438F" w:rsidR="00FA0E3A" w:rsidRPr="00FA0E3A" w:rsidRDefault="00FA0E3A" w:rsidP="00275A92">
      <w:pPr>
        <w:spacing w:after="0" w:line="240" w:lineRule="auto"/>
      </w:pPr>
      <w:r w:rsidRPr="00FA0E3A">
        <w:t>Il comprend notamment</w:t>
      </w:r>
      <w:r w:rsidR="00275A92">
        <w:t> :</w:t>
      </w:r>
    </w:p>
    <w:p w14:paraId="6C7ADB9F" w14:textId="79934B39" w:rsidR="00FA0E3A" w:rsidRPr="00FA0E3A" w:rsidRDefault="00FA0E3A" w:rsidP="00275A92">
      <w:pPr>
        <w:numPr>
          <w:ilvl w:val="0"/>
          <w:numId w:val="18"/>
        </w:numPr>
        <w:spacing w:after="0" w:line="240" w:lineRule="auto"/>
      </w:pPr>
      <w:r w:rsidRPr="00FA0E3A">
        <w:t xml:space="preserve">le </w:t>
      </w:r>
      <w:r w:rsidRPr="00FA0E3A">
        <w:rPr>
          <w:b/>
          <w:bCs/>
        </w:rPr>
        <w:t>droit primaire</w:t>
      </w:r>
      <w:r w:rsidR="00275A92">
        <w:t> :</w:t>
      </w:r>
      <w:r w:rsidRPr="00FA0E3A">
        <w:t xml:space="preserve"> traités de l'Union européenne</w:t>
      </w:r>
      <w:r w:rsidR="00275A92">
        <w:t> ;</w:t>
      </w:r>
    </w:p>
    <w:p w14:paraId="404861D7" w14:textId="4ADD3454" w:rsidR="00FA0E3A" w:rsidRPr="00FA0E3A" w:rsidRDefault="00FA0E3A" w:rsidP="00275A92">
      <w:pPr>
        <w:numPr>
          <w:ilvl w:val="0"/>
          <w:numId w:val="18"/>
        </w:numPr>
        <w:spacing w:after="0" w:line="240" w:lineRule="auto"/>
      </w:pPr>
      <w:r w:rsidRPr="00FA0E3A">
        <w:t xml:space="preserve">le </w:t>
      </w:r>
      <w:r w:rsidRPr="00FA0E3A">
        <w:rPr>
          <w:b/>
          <w:bCs/>
        </w:rPr>
        <w:t>droit dérivé</w:t>
      </w:r>
      <w:r w:rsidR="00275A92">
        <w:t> :</w:t>
      </w:r>
      <w:r w:rsidRPr="00FA0E3A">
        <w:t xml:space="preserve"> actes adoptés par les institutions de l'Union.</w:t>
      </w:r>
    </w:p>
    <w:p w14:paraId="33DE5158" w14:textId="77777777" w:rsidR="00FA0E3A" w:rsidRPr="00FA0E3A" w:rsidRDefault="00FA0E3A" w:rsidP="00275A92">
      <w:pPr>
        <w:spacing w:after="0" w:line="240" w:lineRule="auto"/>
      </w:pPr>
      <w:r w:rsidRPr="00FA0E3A">
        <w:t xml:space="preserve">L'article 288 du </w:t>
      </w:r>
      <w:r w:rsidRPr="00FA0E3A">
        <w:rPr>
          <w:b/>
          <w:bCs/>
        </w:rPr>
        <w:t>Traité sur le fonctionnement de l'Union européenne (TFUE)</w:t>
      </w:r>
      <w:r w:rsidRPr="00FA0E3A">
        <w:t xml:space="preserve"> distingue notamment règlement, directive, décision, recommandation et avis.</w:t>
      </w:r>
    </w:p>
    <w:tbl>
      <w:tblPr>
        <w:tblStyle w:val="Grilledutableau"/>
        <w:tblW w:w="0" w:type="auto"/>
        <w:tblLook w:val="04A0" w:firstRow="1" w:lastRow="0" w:firstColumn="1" w:lastColumn="0" w:noHBand="0" w:noVBand="1"/>
      </w:tblPr>
      <w:tblGrid>
        <w:gridCol w:w="1685"/>
        <w:gridCol w:w="8614"/>
      </w:tblGrid>
      <w:tr w:rsidR="00FA0E3A" w:rsidRPr="00275A92" w14:paraId="5A31DCE4" w14:textId="77777777" w:rsidTr="00275A92">
        <w:trPr>
          <w:tblHeader/>
        </w:trPr>
        <w:tc>
          <w:tcPr>
            <w:tcW w:w="0" w:type="auto"/>
            <w:hideMark/>
          </w:tcPr>
          <w:p w14:paraId="72E36772"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Acte de l'Union</w:t>
            </w:r>
          </w:p>
        </w:tc>
        <w:tc>
          <w:tcPr>
            <w:tcW w:w="0" w:type="auto"/>
            <w:hideMark/>
          </w:tcPr>
          <w:p w14:paraId="19046F63"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Effet principal</w:t>
            </w:r>
          </w:p>
        </w:tc>
      </w:tr>
      <w:tr w:rsidR="00FA0E3A" w:rsidRPr="00275A92" w14:paraId="1E4BB307" w14:textId="77777777" w:rsidTr="00275A92">
        <w:tc>
          <w:tcPr>
            <w:tcW w:w="0" w:type="auto"/>
            <w:hideMark/>
          </w:tcPr>
          <w:p w14:paraId="45F3EBF2" w14:textId="77777777" w:rsidR="00FA0E3A" w:rsidRPr="00275A92" w:rsidRDefault="00FA0E3A" w:rsidP="00275A92">
            <w:pPr>
              <w:jc w:val="left"/>
              <w:rPr>
                <w:rFonts w:ascii="Calibri" w:hAnsi="Calibri" w:cs="Calibri"/>
                <w:sz w:val="20"/>
              </w:rPr>
            </w:pPr>
            <w:r w:rsidRPr="00275A92">
              <w:rPr>
                <w:rFonts w:ascii="Calibri" w:hAnsi="Calibri" w:cs="Calibri"/>
                <w:b/>
                <w:bCs/>
                <w:sz w:val="20"/>
              </w:rPr>
              <w:t>Règlement</w:t>
            </w:r>
          </w:p>
        </w:tc>
        <w:tc>
          <w:tcPr>
            <w:tcW w:w="0" w:type="auto"/>
            <w:hideMark/>
          </w:tcPr>
          <w:p w14:paraId="39AF89F1" w14:textId="77777777" w:rsidR="00FA0E3A" w:rsidRPr="00275A92" w:rsidRDefault="00FA0E3A" w:rsidP="00275A92">
            <w:pPr>
              <w:jc w:val="left"/>
              <w:rPr>
                <w:rFonts w:ascii="Calibri" w:hAnsi="Calibri" w:cs="Calibri"/>
                <w:sz w:val="20"/>
              </w:rPr>
            </w:pPr>
            <w:r w:rsidRPr="00275A92">
              <w:rPr>
                <w:rFonts w:ascii="Calibri" w:hAnsi="Calibri" w:cs="Calibri"/>
                <w:sz w:val="20"/>
              </w:rPr>
              <w:t>Obligatoire dans tous ses éléments et directement applicable dans les États membres</w:t>
            </w:r>
          </w:p>
        </w:tc>
      </w:tr>
      <w:tr w:rsidR="00FA0E3A" w:rsidRPr="00275A92" w14:paraId="72FEE034" w14:textId="77777777" w:rsidTr="00275A92">
        <w:tc>
          <w:tcPr>
            <w:tcW w:w="0" w:type="auto"/>
            <w:hideMark/>
          </w:tcPr>
          <w:p w14:paraId="591FCA2A" w14:textId="77777777" w:rsidR="00FA0E3A" w:rsidRPr="00275A92" w:rsidRDefault="00FA0E3A" w:rsidP="00275A92">
            <w:pPr>
              <w:jc w:val="left"/>
              <w:rPr>
                <w:rFonts w:ascii="Calibri" w:hAnsi="Calibri" w:cs="Calibri"/>
                <w:sz w:val="20"/>
              </w:rPr>
            </w:pPr>
            <w:r w:rsidRPr="00275A92">
              <w:rPr>
                <w:rFonts w:ascii="Calibri" w:hAnsi="Calibri" w:cs="Calibri"/>
                <w:b/>
                <w:bCs/>
                <w:sz w:val="20"/>
              </w:rPr>
              <w:t>Directive</w:t>
            </w:r>
          </w:p>
        </w:tc>
        <w:tc>
          <w:tcPr>
            <w:tcW w:w="0" w:type="auto"/>
            <w:hideMark/>
          </w:tcPr>
          <w:p w14:paraId="339B970F" w14:textId="40C87BB7" w:rsidR="00FA0E3A" w:rsidRPr="00275A92" w:rsidRDefault="00FA0E3A" w:rsidP="00275A92">
            <w:pPr>
              <w:jc w:val="left"/>
              <w:rPr>
                <w:rFonts w:ascii="Calibri" w:hAnsi="Calibri" w:cs="Calibri"/>
                <w:sz w:val="20"/>
              </w:rPr>
            </w:pPr>
            <w:r w:rsidRPr="00275A92">
              <w:rPr>
                <w:rFonts w:ascii="Calibri" w:hAnsi="Calibri" w:cs="Calibri"/>
                <w:sz w:val="20"/>
              </w:rPr>
              <w:t>Lie les États quant au résultat à atteindre</w:t>
            </w:r>
            <w:r w:rsidR="00275A92" w:rsidRPr="00275A92">
              <w:rPr>
                <w:rFonts w:ascii="Calibri" w:hAnsi="Calibri" w:cs="Calibri"/>
                <w:sz w:val="20"/>
              </w:rPr>
              <w:t> ;</w:t>
            </w:r>
            <w:r w:rsidRPr="00275A92">
              <w:rPr>
                <w:rFonts w:ascii="Calibri" w:hAnsi="Calibri" w:cs="Calibri"/>
                <w:sz w:val="20"/>
              </w:rPr>
              <w:t xml:space="preserve"> elle appelle normalement une transposition en droit national</w:t>
            </w:r>
          </w:p>
        </w:tc>
      </w:tr>
      <w:tr w:rsidR="00FA0E3A" w:rsidRPr="00275A92" w14:paraId="21219A73" w14:textId="77777777" w:rsidTr="00275A92">
        <w:tc>
          <w:tcPr>
            <w:tcW w:w="0" w:type="auto"/>
            <w:hideMark/>
          </w:tcPr>
          <w:p w14:paraId="36EC2F37" w14:textId="77777777" w:rsidR="00FA0E3A" w:rsidRPr="00275A92" w:rsidRDefault="00FA0E3A" w:rsidP="00275A92">
            <w:pPr>
              <w:jc w:val="left"/>
              <w:rPr>
                <w:rFonts w:ascii="Calibri" w:hAnsi="Calibri" w:cs="Calibri"/>
                <w:sz w:val="20"/>
              </w:rPr>
            </w:pPr>
            <w:r w:rsidRPr="00275A92">
              <w:rPr>
                <w:rFonts w:ascii="Calibri" w:hAnsi="Calibri" w:cs="Calibri"/>
                <w:b/>
                <w:bCs/>
                <w:sz w:val="20"/>
              </w:rPr>
              <w:t>Décision</w:t>
            </w:r>
          </w:p>
        </w:tc>
        <w:tc>
          <w:tcPr>
            <w:tcW w:w="0" w:type="auto"/>
            <w:hideMark/>
          </w:tcPr>
          <w:p w14:paraId="1DDC226E" w14:textId="1A10C88C" w:rsidR="00FA0E3A" w:rsidRPr="00275A92" w:rsidRDefault="00FA0E3A" w:rsidP="00275A92">
            <w:pPr>
              <w:jc w:val="left"/>
              <w:rPr>
                <w:rFonts w:ascii="Calibri" w:hAnsi="Calibri" w:cs="Calibri"/>
                <w:sz w:val="20"/>
              </w:rPr>
            </w:pPr>
            <w:r w:rsidRPr="00275A92">
              <w:rPr>
                <w:rFonts w:ascii="Calibri" w:hAnsi="Calibri" w:cs="Calibri"/>
                <w:sz w:val="20"/>
              </w:rPr>
              <w:t>Obligatoire dans tous ses éléments</w:t>
            </w:r>
            <w:r w:rsidR="00275A92" w:rsidRPr="00275A92">
              <w:rPr>
                <w:rFonts w:ascii="Calibri" w:hAnsi="Calibri" w:cs="Calibri"/>
                <w:sz w:val="20"/>
              </w:rPr>
              <w:t> ;</w:t>
            </w:r>
            <w:r w:rsidRPr="00275A92">
              <w:rPr>
                <w:rFonts w:ascii="Calibri" w:hAnsi="Calibri" w:cs="Calibri"/>
                <w:sz w:val="20"/>
              </w:rPr>
              <w:t xml:space="preserve"> lorsqu'elle désigne des destinataires, elle ne lie que ceux-ci</w:t>
            </w:r>
          </w:p>
        </w:tc>
      </w:tr>
      <w:tr w:rsidR="00FA0E3A" w:rsidRPr="00275A92" w14:paraId="232F88D1" w14:textId="77777777" w:rsidTr="00275A92">
        <w:tc>
          <w:tcPr>
            <w:tcW w:w="0" w:type="auto"/>
            <w:hideMark/>
          </w:tcPr>
          <w:p w14:paraId="212EE201" w14:textId="77777777" w:rsidR="00FA0E3A" w:rsidRPr="00275A92" w:rsidRDefault="00FA0E3A" w:rsidP="00275A92">
            <w:pPr>
              <w:jc w:val="left"/>
              <w:rPr>
                <w:rFonts w:ascii="Calibri" w:hAnsi="Calibri" w:cs="Calibri"/>
                <w:sz w:val="20"/>
              </w:rPr>
            </w:pPr>
            <w:r w:rsidRPr="00275A92">
              <w:rPr>
                <w:rFonts w:ascii="Calibri" w:hAnsi="Calibri" w:cs="Calibri"/>
                <w:b/>
                <w:bCs/>
                <w:sz w:val="20"/>
              </w:rPr>
              <w:t>Recommandation</w:t>
            </w:r>
          </w:p>
        </w:tc>
        <w:tc>
          <w:tcPr>
            <w:tcW w:w="0" w:type="auto"/>
            <w:hideMark/>
          </w:tcPr>
          <w:p w14:paraId="1EA10AFF" w14:textId="77777777" w:rsidR="00FA0E3A" w:rsidRPr="00275A92" w:rsidRDefault="00FA0E3A" w:rsidP="00275A92">
            <w:pPr>
              <w:jc w:val="left"/>
              <w:rPr>
                <w:rFonts w:ascii="Calibri" w:hAnsi="Calibri" w:cs="Calibri"/>
                <w:sz w:val="20"/>
              </w:rPr>
            </w:pPr>
            <w:r w:rsidRPr="00275A92">
              <w:rPr>
                <w:rFonts w:ascii="Calibri" w:hAnsi="Calibri" w:cs="Calibri"/>
                <w:sz w:val="20"/>
              </w:rPr>
              <w:t>Non contraignante</w:t>
            </w:r>
          </w:p>
        </w:tc>
      </w:tr>
      <w:tr w:rsidR="00FA0E3A" w:rsidRPr="00275A92" w14:paraId="725AD751" w14:textId="77777777" w:rsidTr="00275A92">
        <w:tc>
          <w:tcPr>
            <w:tcW w:w="0" w:type="auto"/>
            <w:hideMark/>
          </w:tcPr>
          <w:p w14:paraId="71A08BE5" w14:textId="77777777" w:rsidR="00FA0E3A" w:rsidRPr="00275A92" w:rsidRDefault="00FA0E3A" w:rsidP="00275A92">
            <w:pPr>
              <w:jc w:val="left"/>
              <w:rPr>
                <w:rFonts w:ascii="Calibri" w:hAnsi="Calibri" w:cs="Calibri"/>
                <w:sz w:val="20"/>
              </w:rPr>
            </w:pPr>
            <w:r w:rsidRPr="00275A92">
              <w:rPr>
                <w:rFonts w:ascii="Calibri" w:hAnsi="Calibri" w:cs="Calibri"/>
                <w:b/>
                <w:bCs/>
                <w:sz w:val="20"/>
              </w:rPr>
              <w:t>Avis</w:t>
            </w:r>
          </w:p>
        </w:tc>
        <w:tc>
          <w:tcPr>
            <w:tcW w:w="0" w:type="auto"/>
            <w:hideMark/>
          </w:tcPr>
          <w:p w14:paraId="3723C574" w14:textId="77777777" w:rsidR="00FA0E3A" w:rsidRPr="00275A92" w:rsidRDefault="00FA0E3A" w:rsidP="00275A92">
            <w:pPr>
              <w:jc w:val="left"/>
              <w:rPr>
                <w:rFonts w:ascii="Calibri" w:hAnsi="Calibri" w:cs="Calibri"/>
                <w:sz w:val="20"/>
              </w:rPr>
            </w:pPr>
            <w:r w:rsidRPr="00275A92">
              <w:rPr>
                <w:rFonts w:ascii="Calibri" w:hAnsi="Calibri" w:cs="Calibri"/>
                <w:sz w:val="20"/>
              </w:rPr>
              <w:t>Non contraignant</w:t>
            </w:r>
          </w:p>
        </w:tc>
      </w:tr>
    </w:tbl>
    <w:p w14:paraId="22033903" w14:textId="1BC52759" w:rsidR="00FA0E3A" w:rsidRPr="00FA0E3A" w:rsidRDefault="00FA0E3A" w:rsidP="00275A92">
      <w:pPr>
        <w:spacing w:after="0" w:line="240" w:lineRule="auto"/>
        <w:rPr>
          <w:b/>
          <w:bCs/>
        </w:rPr>
      </w:pPr>
      <w:r w:rsidRPr="00FA0E3A">
        <w:rPr>
          <w:b/>
          <w:bCs/>
        </w:rPr>
        <w:t>Exemple</w:t>
      </w:r>
      <w:r w:rsidR="00275A92">
        <w:rPr>
          <w:b/>
          <w:bCs/>
        </w:rPr>
        <w:t> :</w:t>
      </w:r>
      <w:r w:rsidRPr="00FA0E3A">
        <w:rPr>
          <w:b/>
          <w:bCs/>
        </w:rPr>
        <w:t xml:space="preserve"> règlement</w:t>
      </w:r>
    </w:p>
    <w:p w14:paraId="70AEE1DB" w14:textId="77777777" w:rsidR="00FA0E3A" w:rsidRPr="00FA0E3A" w:rsidRDefault="00FA0E3A" w:rsidP="00275A92">
      <w:pPr>
        <w:spacing w:after="0" w:line="240" w:lineRule="auto"/>
      </w:pPr>
      <w:r w:rsidRPr="00FA0E3A">
        <w:t xml:space="preserve">Le </w:t>
      </w:r>
      <w:r w:rsidRPr="00FA0E3A">
        <w:rPr>
          <w:b/>
          <w:bCs/>
        </w:rPr>
        <w:t>Règlement général sur la protection des données (RGPD)</w:t>
      </w:r>
      <w:r w:rsidRPr="00FA0E3A">
        <w:t xml:space="preserve"> est un règlement européen. Il n'a pas eu besoin d'être transformé en loi française pour devenir applicable comme tel.</w:t>
      </w:r>
    </w:p>
    <w:p w14:paraId="001B907D" w14:textId="46489277" w:rsidR="00FA0E3A" w:rsidRPr="00FA0E3A" w:rsidRDefault="00FA0E3A" w:rsidP="00275A92">
      <w:pPr>
        <w:spacing w:after="0" w:line="240" w:lineRule="auto"/>
        <w:rPr>
          <w:b/>
          <w:bCs/>
        </w:rPr>
      </w:pPr>
      <w:r w:rsidRPr="00FA0E3A">
        <w:rPr>
          <w:b/>
          <w:bCs/>
        </w:rPr>
        <w:t>Contre-exemple</w:t>
      </w:r>
      <w:r w:rsidR="00275A92">
        <w:rPr>
          <w:b/>
          <w:bCs/>
        </w:rPr>
        <w:t> :</w:t>
      </w:r>
      <w:r w:rsidRPr="00FA0E3A">
        <w:rPr>
          <w:b/>
          <w:bCs/>
        </w:rPr>
        <w:t xml:space="preserve"> directive</w:t>
      </w:r>
    </w:p>
    <w:p w14:paraId="3C82BDB0" w14:textId="77777777" w:rsidR="00FA0E3A" w:rsidRPr="00FA0E3A" w:rsidRDefault="00FA0E3A" w:rsidP="00275A92">
      <w:pPr>
        <w:spacing w:after="0" w:line="240" w:lineRule="auto"/>
      </w:pPr>
      <w:r w:rsidRPr="00FA0E3A">
        <w:lastRenderedPageBreak/>
        <w:t>Une directive européenne n'est pas l'équivalent d'un règlement. Elle impose en principe aux États membres d'atteindre un résultat et nécessite l'adaptation du droit interne selon les modalités prévues par le droit de l'Union.</w:t>
      </w:r>
    </w:p>
    <w:p w14:paraId="7EB3DE34" w14:textId="33FF38B2" w:rsidR="00FA0E3A" w:rsidRPr="00FA0E3A" w:rsidRDefault="00FA0E3A" w:rsidP="00275A92">
      <w:pPr>
        <w:spacing w:after="0" w:line="240" w:lineRule="auto"/>
      </w:pPr>
      <w:r w:rsidRPr="00FA0E3A">
        <w:t>Des règles particulières permettent toutefois, sous certaines conditions, d'invoquer directement certaines dispositions d'une directive</w:t>
      </w:r>
      <w:r w:rsidR="00275A92">
        <w:t> :</w:t>
      </w:r>
      <w:r w:rsidRPr="00FA0E3A">
        <w:t xml:space="preserve"> il ne faut donc pas conclure qu'une directive serait juridiquement dépourvue d'effet tant qu'elle n'est pas transposée.</w:t>
      </w:r>
    </w:p>
    <w:p w14:paraId="5560743D" w14:textId="77777777" w:rsidR="00FA0E3A" w:rsidRPr="00FA0E3A" w:rsidRDefault="00FA0E3A" w:rsidP="00275A92">
      <w:pPr>
        <w:spacing w:after="0" w:line="240" w:lineRule="auto"/>
        <w:rPr>
          <w:b/>
          <w:bCs/>
        </w:rPr>
      </w:pPr>
      <w:r w:rsidRPr="00FA0E3A">
        <w:rPr>
          <w:b/>
          <w:bCs/>
        </w:rPr>
        <w:t>Principe de primauté</w:t>
      </w:r>
    </w:p>
    <w:p w14:paraId="70583208" w14:textId="60E08E4B" w:rsidR="00FA0E3A" w:rsidRPr="00FA0E3A" w:rsidRDefault="00FA0E3A" w:rsidP="00275A92">
      <w:pPr>
        <w:spacing w:after="0" w:line="240" w:lineRule="auto"/>
      </w:pPr>
      <w:r w:rsidRPr="00FA0E3A">
        <w:t xml:space="preserve">Le droit de l'Union repose sur un </w:t>
      </w:r>
      <w:r w:rsidRPr="00FA0E3A">
        <w:rPr>
          <w:b/>
          <w:bCs/>
        </w:rPr>
        <w:t>principe de primauté</w:t>
      </w:r>
      <w:r w:rsidR="00275A92">
        <w:t> :</w:t>
      </w:r>
      <w:r w:rsidRPr="00FA0E3A">
        <w:t xml:space="preserve"> lorsqu'une règle nationale incompatible entre dans le champ d'application du droit de l'Union, le juge national doit faire prévaloir la règle européenne applicable. La règle nationale incompatible n'est pas nécessairement supprimée</w:t>
      </w:r>
      <w:r w:rsidR="00275A92">
        <w:t> :</w:t>
      </w:r>
      <w:r w:rsidRPr="00FA0E3A">
        <w:t xml:space="preserve"> elle peut être laissée inappliquée dans le litige.</w:t>
      </w:r>
    </w:p>
    <w:p w14:paraId="02845000" w14:textId="77777777" w:rsidR="00FA0E3A" w:rsidRPr="00FA0E3A" w:rsidRDefault="00FA0E3A" w:rsidP="00275A92">
      <w:pPr>
        <w:spacing w:after="0" w:line="240" w:lineRule="auto"/>
      </w:pPr>
      <w:r w:rsidRPr="00FA0E3A">
        <w:t>En droit français, cette primauté doit être articulée avec la suprématie de la Constitution dans l'ordre juridique interne.</w:t>
      </w:r>
    </w:p>
    <w:p w14:paraId="28FDC37A" w14:textId="77777777" w:rsidR="00FA0E3A" w:rsidRPr="00FA0E3A" w:rsidRDefault="00000000" w:rsidP="00275A92">
      <w:pPr>
        <w:spacing w:after="0" w:line="240" w:lineRule="auto"/>
      </w:pPr>
      <w:r>
        <w:pict w14:anchorId="658348A8">
          <v:rect id="_x0000_i1030" style="width:0;height:1.5pt" o:hralign="center" o:hrstd="t" o:hr="t" fillcolor="#a0a0a0" stroked="f"/>
        </w:pict>
      </w:r>
    </w:p>
    <w:p w14:paraId="2A40F0FF" w14:textId="77777777" w:rsidR="00FA0E3A" w:rsidRPr="00FA0E3A" w:rsidRDefault="00FA0E3A" w:rsidP="00275A92">
      <w:pPr>
        <w:pStyle w:val="Titre1"/>
      </w:pPr>
      <w:r w:rsidRPr="00FA0E3A">
        <w:t>5. La loi</w:t>
      </w:r>
    </w:p>
    <w:p w14:paraId="186A30AB" w14:textId="77777777" w:rsidR="00FA0E3A" w:rsidRPr="00FA0E3A" w:rsidRDefault="00FA0E3A" w:rsidP="00275A92">
      <w:pPr>
        <w:spacing w:after="0" w:line="240" w:lineRule="auto"/>
      </w:pPr>
      <w:r w:rsidRPr="00FA0E3A">
        <w:t xml:space="preserve">La </w:t>
      </w:r>
      <w:r w:rsidRPr="00FA0E3A">
        <w:rPr>
          <w:b/>
          <w:bCs/>
        </w:rPr>
        <w:t>loi</w:t>
      </w:r>
      <w:r w:rsidRPr="00FA0E3A">
        <w:t xml:space="preserve"> est une norme adoptée par le Parlement dans les matières relevant du domaine législatif fixé par la Constitution. La Constitution détermine les matières dans lesquelles la loi fixe les règles ou détermine les principes fondamentaux.</w:t>
      </w:r>
    </w:p>
    <w:p w14:paraId="3CD9D548" w14:textId="53935D51" w:rsidR="00FA0E3A" w:rsidRPr="00FA0E3A" w:rsidRDefault="00FA0E3A" w:rsidP="00275A92">
      <w:pPr>
        <w:spacing w:after="0" w:line="240" w:lineRule="auto"/>
      </w:pPr>
      <w:r w:rsidRPr="00FA0E3A">
        <w:t>On distingue notamment</w:t>
      </w:r>
      <w:r w:rsidR="00275A92">
        <w:t> :</w:t>
      </w:r>
    </w:p>
    <w:p w14:paraId="0BD7F7BD" w14:textId="0B8E556E" w:rsidR="00FA0E3A" w:rsidRPr="00FA0E3A" w:rsidRDefault="00FA0E3A" w:rsidP="00275A92">
      <w:pPr>
        <w:numPr>
          <w:ilvl w:val="0"/>
          <w:numId w:val="19"/>
        </w:numPr>
        <w:spacing w:after="0" w:line="240" w:lineRule="auto"/>
      </w:pPr>
      <w:r w:rsidRPr="00FA0E3A">
        <w:t xml:space="preserve">les </w:t>
      </w:r>
      <w:r w:rsidRPr="00FA0E3A">
        <w:rPr>
          <w:b/>
          <w:bCs/>
        </w:rPr>
        <w:t>lois constitutionnelles</w:t>
      </w:r>
      <w:r w:rsidRPr="00FA0E3A">
        <w:t>, qui modifient la Constitution</w:t>
      </w:r>
      <w:r w:rsidR="00275A92">
        <w:t> ;</w:t>
      </w:r>
    </w:p>
    <w:p w14:paraId="7747B332" w14:textId="5F0D8982" w:rsidR="00FA0E3A" w:rsidRPr="00FA0E3A" w:rsidRDefault="00FA0E3A" w:rsidP="00275A92">
      <w:pPr>
        <w:numPr>
          <w:ilvl w:val="0"/>
          <w:numId w:val="19"/>
        </w:numPr>
        <w:spacing w:after="0" w:line="240" w:lineRule="auto"/>
      </w:pPr>
      <w:r w:rsidRPr="00FA0E3A">
        <w:t xml:space="preserve">les </w:t>
      </w:r>
      <w:r w:rsidRPr="00FA0E3A">
        <w:rPr>
          <w:b/>
          <w:bCs/>
        </w:rPr>
        <w:t>lois organiques</w:t>
      </w:r>
      <w:r w:rsidRPr="00FA0E3A">
        <w:t>, qui précisent l'organisation et le fonctionnement des pouvoirs publics dans les matières prévues par la Constitution</w:t>
      </w:r>
      <w:r w:rsidR="00275A92">
        <w:t> ;</w:t>
      </w:r>
    </w:p>
    <w:p w14:paraId="14B28572" w14:textId="1D3CA14B" w:rsidR="00FA0E3A" w:rsidRPr="00FA0E3A" w:rsidRDefault="00FA0E3A" w:rsidP="00275A92">
      <w:pPr>
        <w:numPr>
          <w:ilvl w:val="0"/>
          <w:numId w:val="19"/>
        </w:numPr>
        <w:spacing w:after="0" w:line="240" w:lineRule="auto"/>
      </w:pPr>
      <w:r w:rsidRPr="00FA0E3A">
        <w:t xml:space="preserve">les </w:t>
      </w:r>
      <w:r w:rsidRPr="00FA0E3A">
        <w:rPr>
          <w:b/>
          <w:bCs/>
        </w:rPr>
        <w:t>lois ordinaires</w:t>
      </w:r>
      <w:r w:rsidR="00275A92">
        <w:t> ;</w:t>
      </w:r>
    </w:p>
    <w:p w14:paraId="1FB618B1" w14:textId="77777777" w:rsidR="00FA0E3A" w:rsidRPr="00FA0E3A" w:rsidRDefault="00FA0E3A" w:rsidP="00275A92">
      <w:pPr>
        <w:numPr>
          <w:ilvl w:val="0"/>
          <w:numId w:val="19"/>
        </w:numPr>
        <w:spacing w:after="0" w:line="240" w:lineRule="auto"/>
      </w:pPr>
      <w:r w:rsidRPr="00FA0E3A">
        <w:t>les lois adoptées par référendum dans les cas prévus par la Constitution.</w:t>
      </w:r>
    </w:p>
    <w:p w14:paraId="27DE1392" w14:textId="77777777" w:rsidR="00FA0E3A" w:rsidRPr="00FA0E3A" w:rsidRDefault="00FA0E3A" w:rsidP="00275A92">
      <w:pPr>
        <w:spacing w:after="0" w:line="240" w:lineRule="auto"/>
        <w:rPr>
          <w:b/>
          <w:bCs/>
        </w:rPr>
      </w:pPr>
      <w:r w:rsidRPr="00FA0E3A">
        <w:rPr>
          <w:b/>
          <w:bCs/>
        </w:rPr>
        <w:t>5.1 Loi impérative et loi supplétive</w:t>
      </w:r>
    </w:p>
    <w:p w14:paraId="0DA196A4" w14:textId="77777777" w:rsidR="00FA0E3A" w:rsidRPr="00FA0E3A" w:rsidRDefault="00FA0E3A" w:rsidP="00275A92">
      <w:pPr>
        <w:spacing w:after="0" w:line="240" w:lineRule="auto"/>
      </w:pPr>
      <w:r w:rsidRPr="00FA0E3A">
        <w:t xml:space="preserve">Une disposition légale peut être </w:t>
      </w:r>
      <w:r w:rsidRPr="00FA0E3A">
        <w:rPr>
          <w:b/>
          <w:bCs/>
        </w:rPr>
        <w:t>impérative</w:t>
      </w:r>
      <w:r w:rsidRPr="00FA0E3A">
        <w:t xml:space="preserve"> ou </w:t>
      </w:r>
      <w:r w:rsidRPr="00FA0E3A">
        <w:rPr>
          <w:b/>
          <w:bCs/>
        </w:rPr>
        <w:t>supplétive</w:t>
      </w:r>
      <w:r w:rsidRPr="00FA0E3A">
        <w:t>.</w:t>
      </w:r>
    </w:p>
    <w:p w14:paraId="0B1CD9D0" w14:textId="77777777" w:rsidR="00FA0E3A" w:rsidRPr="00FA0E3A" w:rsidRDefault="00FA0E3A" w:rsidP="00275A92">
      <w:pPr>
        <w:spacing w:after="0" w:line="240" w:lineRule="auto"/>
        <w:rPr>
          <w:b/>
          <w:bCs/>
        </w:rPr>
      </w:pPr>
      <w:r w:rsidRPr="00FA0E3A">
        <w:rPr>
          <w:b/>
          <w:bCs/>
        </w:rPr>
        <w:t>La règle impérative</w:t>
      </w:r>
    </w:p>
    <w:p w14:paraId="6CDCB7EF" w14:textId="77777777" w:rsidR="00FA0E3A" w:rsidRPr="00FA0E3A" w:rsidRDefault="00FA0E3A" w:rsidP="00275A92">
      <w:pPr>
        <w:spacing w:after="0" w:line="240" w:lineRule="auto"/>
      </w:pPr>
      <w:r w:rsidRPr="00FA0E3A">
        <w:t>Une règle est impérative lorsque les personnes auxquelles elle s'applique ne peuvent pas décider contractuellement de l'écarter.</w:t>
      </w:r>
    </w:p>
    <w:p w14:paraId="6A892E94" w14:textId="77777777" w:rsidR="00FA0E3A" w:rsidRPr="00FA0E3A" w:rsidRDefault="00FA0E3A" w:rsidP="00275A92">
      <w:pPr>
        <w:spacing w:after="0" w:line="240" w:lineRule="auto"/>
      </w:pPr>
      <w:r w:rsidRPr="00FA0E3A">
        <w:t>L'article 6 du Code civil exprime cette logique en interdisant de déroger par convention aux lois intéressant l'ordre public.</w:t>
      </w:r>
    </w:p>
    <w:p w14:paraId="2BCCCD31" w14:textId="75B434C5" w:rsidR="00FA0E3A" w:rsidRPr="00FA0E3A" w:rsidRDefault="00FA0E3A" w:rsidP="00275A92">
      <w:pPr>
        <w:spacing w:after="0" w:line="240" w:lineRule="auto"/>
      </w:pPr>
      <w:r w:rsidRPr="00FA0E3A">
        <w:rPr>
          <w:b/>
          <w:bCs/>
        </w:rPr>
        <w:t>Exemple</w:t>
      </w:r>
      <w:r w:rsidR="00275A92">
        <w:rPr>
          <w:b/>
          <w:bCs/>
        </w:rPr>
        <w:t> :</w:t>
      </w:r>
      <w:r w:rsidRPr="00FA0E3A">
        <w:t xml:space="preserve"> deux parties ne peuvent pas valablement prévoir dans leur contrat qu'une discrimination légalement interdite deviendra autorisée entre elles.</w:t>
      </w:r>
    </w:p>
    <w:p w14:paraId="6AE89A14" w14:textId="77777777" w:rsidR="00FA0E3A" w:rsidRPr="00FA0E3A" w:rsidRDefault="00FA0E3A" w:rsidP="00275A92">
      <w:pPr>
        <w:spacing w:after="0" w:line="240" w:lineRule="auto"/>
        <w:rPr>
          <w:b/>
          <w:bCs/>
        </w:rPr>
      </w:pPr>
      <w:r w:rsidRPr="00FA0E3A">
        <w:rPr>
          <w:b/>
          <w:bCs/>
        </w:rPr>
        <w:t>La règle supplétive</w:t>
      </w:r>
    </w:p>
    <w:p w14:paraId="786BE3D4" w14:textId="77777777" w:rsidR="00FA0E3A" w:rsidRPr="00FA0E3A" w:rsidRDefault="00FA0E3A" w:rsidP="00275A92">
      <w:pPr>
        <w:spacing w:after="0" w:line="240" w:lineRule="auto"/>
      </w:pPr>
      <w:r w:rsidRPr="00FA0E3A">
        <w:t xml:space="preserve">Une règle supplétive s'applique </w:t>
      </w:r>
      <w:r w:rsidRPr="00FA0E3A">
        <w:rPr>
          <w:b/>
          <w:bCs/>
        </w:rPr>
        <w:t>en l'absence de volonté contraire des intéressés</w:t>
      </w:r>
      <w:r w:rsidRPr="00FA0E3A">
        <w:t>.</w:t>
      </w:r>
    </w:p>
    <w:p w14:paraId="5E1031E0" w14:textId="77777777" w:rsidR="00FA0E3A" w:rsidRPr="00FA0E3A" w:rsidRDefault="00FA0E3A" w:rsidP="00275A92">
      <w:pPr>
        <w:spacing w:after="0" w:line="240" w:lineRule="auto"/>
      </w:pPr>
      <w:r w:rsidRPr="00FA0E3A">
        <w:t>Elle fournit donc une solution juridique par défaut.</w:t>
      </w:r>
    </w:p>
    <w:p w14:paraId="2E5653F0" w14:textId="54934DF4" w:rsidR="00FA0E3A" w:rsidRPr="00FA0E3A" w:rsidRDefault="00FA0E3A" w:rsidP="00275A92">
      <w:pPr>
        <w:spacing w:after="0" w:line="240" w:lineRule="auto"/>
      </w:pPr>
      <w:r w:rsidRPr="00FA0E3A">
        <w:rPr>
          <w:b/>
          <w:bCs/>
        </w:rPr>
        <w:t>Exemple</w:t>
      </w:r>
      <w:r w:rsidR="00275A92">
        <w:rPr>
          <w:b/>
          <w:bCs/>
        </w:rPr>
        <w:t> :</w:t>
      </w:r>
      <w:r w:rsidRPr="00FA0E3A">
        <w:t xml:space="preserve"> si un texte prévoit une règle applicable </w:t>
      </w:r>
      <w:r w:rsidR="00275A92">
        <w:t>« </w:t>
      </w:r>
      <w:r w:rsidRPr="00FA0E3A">
        <w:t>sauf convention contraire</w:t>
      </w:r>
      <w:r w:rsidR="00275A92">
        <w:t> »</w:t>
      </w:r>
      <w:r w:rsidRPr="00FA0E3A">
        <w:t>, les parties peuvent choisir une autre organisation dans les limites permises par la loi.</w:t>
      </w:r>
    </w:p>
    <w:p w14:paraId="40DEF7CD" w14:textId="77777777" w:rsidR="00FA0E3A" w:rsidRPr="00FA0E3A" w:rsidRDefault="00FA0E3A" w:rsidP="00275A92">
      <w:pPr>
        <w:spacing w:after="0" w:line="240" w:lineRule="auto"/>
        <w:rPr>
          <w:b/>
          <w:bCs/>
        </w:rPr>
      </w:pPr>
      <w:r w:rsidRPr="00FA0E3A">
        <w:rPr>
          <w:b/>
          <w:bCs/>
        </w:rPr>
        <w:t>À ne pas confondre</w:t>
      </w:r>
    </w:p>
    <w:p w14:paraId="44D5569A" w14:textId="77777777" w:rsidR="00FA0E3A" w:rsidRPr="00FA0E3A" w:rsidRDefault="00FA0E3A" w:rsidP="00275A92">
      <w:pPr>
        <w:spacing w:after="0" w:line="240" w:lineRule="auto"/>
      </w:pPr>
      <w:r w:rsidRPr="00FA0E3A">
        <w:rPr>
          <w:b/>
          <w:bCs/>
        </w:rPr>
        <w:t>Supplétif ne signifie pas facultatif.</w:t>
      </w:r>
    </w:p>
    <w:p w14:paraId="476837B3" w14:textId="77777777" w:rsidR="00FA0E3A" w:rsidRPr="00FA0E3A" w:rsidRDefault="00FA0E3A" w:rsidP="00275A92">
      <w:pPr>
        <w:spacing w:after="0" w:line="240" w:lineRule="auto"/>
      </w:pPr>
      <w:r w:rsidRPr="00FA0E3A">
        <w:t>Si les parties n'ont rien prévu d'autre, la règle supplétive s'applique pleinement.</w:t>
      </w:r>
    </w:p>
    <w:p w14:paraId="042D9B22" w14:textId="77777777" w:rsidR="00FA0E3A" w:rsidRPr="00FA0E3A" w:rsidRDefault="00000000" w:rsidP="00275A92">
      <w:pPr>
        <w:spacing w:after="0" w:line="240" w:lineRule="auto"/>
      </w:pPr>
      <w:r>
        <w:pict w14:anchorId="7887432C">
          <v:rect id="_x0000_i1031" style="width:0;height:1.5pt" o:hralign="center" o:hrstd="t" o:hr="t" fillcolor="#a0a0a0" stroked="f"/>
        </w:pict>
      </w:r>
    </w:p>
    <w:p w14:paraId="64A5174E" w14:textId="4A468D52" w:rsidR="00FA0E3A" w:rsidRPr="00FA0E3A" w:rsidRDefault="00FA0E3A" w:rsidP="00275A92">
      <w:pPr>
        <w:pStyle w:val="Titre1"/>
      </w:pPr>
      <w:r w:rsidRPr="00FA0E3A">
        <w:t>6. Comment une loi est-elle adoptée</w:t>
      </w:r>
      <w:r w:rsidR="00275A92">
        <w:t> ?</w:t>
      </w:r>
    </w:p>
    <w:p w14:paraId="2C7BEEC4" w14:textId="3C59F908" w:rsidR="00FA0E3A" w:rsidRPr="00FA0E3A" w:rsidRDefault="00FA0E3A" w:rsidP="00275A92">
      <w:pPr>
        <w:spacing w:after="0" w:line="240" w:lineRule="auto"/>
      </w:pPr>
      <w:r w:rsidRPr="00FA0E3A">
        <w:t>Il convient de distinguer</w:t>
      </w:r>
      <w:r w:rsidR="00275A92">
        <w:t> :</w:t>
      </w:r>
    </w:p>
    <w:p w14:paraId="2983B078" w14:textId="58C3CEED" w:rsidR="00FA0E3A" w:rsidRPr="00FA0E3A" w:rsidRDefault="00FA0E3A" w:rsidP="00275A92">
      <w:pPr>
        <w:numPr>
          <w:ilvl w:val="0"/>
          <w:numId w:val="20"/>
        </w:numPr>
        <w:spacing w:after="0" w:line="240" w:lineRule="auto"/>
      </w:pPr>
      <w:r w:rsidRPr="00FA0E3A">
        <w:t xml:space="preserve">le </w:t>
      </w:r>
      <w:r w:rsidRPr="00FA0E3A">
        <w:rPr>
          <w:b/>
          <w:bCs/>
        </w:rPr>
        <w:t>projet de loi</w:t>
      </w:r>
      <w:r w:rsidRPr="00FA0E3A">
        <w:t>, qui émane du Gouvernement</w:t>
      </w:r>
      <w:r w:rsidR="00275A92">
        <w:t> ;</w:t>
      </w:r>
    </w:p>
    <w:p w14:paraId="3C15A836" w14:textId="77777777" w:rsidR="00FA0E3A" w:rsidRPr="00FA0E3A" w:rsidRDefault="00FA0E3A" w:rsidP="00275A92">
      <w:pPr>
        <w:numPr>
          <w:ilvl w:val="0"/>
          <w:numId w:val="20"/>
        </w:numPr>
        <w:spacing w:after="0" w:line="240" w:lineRule="auto"/>
      </w:pPr>
      <w:r w:rsidRPr="00FA0E3A">
        <w:t xml:space="preserve">la </w:t>
      </w:r>
      <w:r w:rsidRPr="00FA0E3A">
        <w:rPr>
          <w:b/>
          <w:bCs/>
        </w:rPr>
        <w:t>proposition de loi</w:t>
      </w:r>
      <w:r w:rsidRPr="00FA0E3A">
        <w:t>, qui émane d'un ou plusieurs parlementaires.</w:t>
      </w:r>
    </w:p>
    <w:p w14:paraId="25E2F76F" w14:textId="77777777" w:rsidR="00FA0E3A" w:rsidRPr="00FA0E3A" w:rsidRDefault="00FA0E3A" w:rsidP="00275A92">
      <w:pPr>
        <w:spacing w:after="0" w:line="240" w:lineRule="auto"/>
      </w:pPr>
      <w:r w:rsidRPr="00FA0E3A">
        <w:t>L'initiative des lois appartient concurremment au Premier ministre et aux membres du Parlement.</w:t>
      </w:r>
    </w:p>
    <w:p w14:paraId="0F3B32AC" w14:textId="18D64CF8" w:rsidR="00FA0E3A" w:rsidRPr="00FA0E3A" w:rsidRDefault="00FA0E3A" w:rsidP="00275A92">
      <w:pPr>
        <w:spacing w:after="0" w:line="240" w:lineRule="auto"/>
      </w:pPr>
      <w:r w:rsidRPr="00FA0E3A">
        <w:t>La procédure législative ordinaire peut être résumée ainsi</w:t>
      </w:r>
      <w:r w:rsidR="00275A92">
        <w:t> :</w:t>
      </w:r>
    </w:p>
    <w:tbl>
      <w:tblPr>
        <w:tblStyle w:val="Grilledutableau"/>
        <w:tblW w:w="0" w:type="auto"/>
        <w:tblLook w:val="04A0" w:firstRow="1" w:lastRow="0" w:firstColumn="1" w:lastColumn="0" w:noHBand="0" w:noVBand="1"/>
      </w:tblPr>
      <w:tblGrid>
        <w:gridCol w:w="6275"/>
        <w:gridCol w:w="4181"/>
      </w:tblGrid>
      <w:tr w:rsidR="00FA0E3A" w:rsidRPr="00275A92" w14:paraId="0F295355" w14:textId="77777777" w:rsidTr="00275A92">
        <w:trPr>
          <w:tblHeader/>
        </w:trPr>
        <w:tc>
          <w:tcPr>
            <w:tcW w:w="0" w:type="auto"/>
            <w:hideMark/>
          </w:tcPr>
          <w:p w14:paraId="6D139FB0"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lastRenderedPageBreak/>
              <w:t>Étape</w:t>
            </w:r>
          </w:p>
        </w:tc>
        <w:tc>
          <w:tcPr>
            <w:tcW w:w="0" w:type="auto"/>
            <w:hideMark/>
          </w:tcPr>
          <w:p w14:paraId="24E20D6A"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Principe</w:t>
            </w:r>
          </w:p>
        </w:tc>
      </w:tr>
      <w:tr w:rsidR="00FA0E3A" w:rsidRPr="00275A92" w14:paraId="10AED249" w14:textId="77777777" w:rsidTr="00275A92">
        <w:tc>
          <w:tcPr>
            <w:tcW w:w="0" w:type="auto"/>
            <w:hideMark/>
          </w:tcPr>
          <w:p w14:paraId="3F6EA3B8" w14:textId="77777777" w:rsidR="00FA0E3A" w:rsidRPr="00275A92" w:rsidRDefault="00FA0E3A" w:rsidP="00275A92">
            <w:pPr>
              <w:pStyle w:val="Titre1"/>
            </w:pPr>
            <w:r w:rsidRPr="00275A92">
              <w:t>1. Initiative et dépôt</w:t>
            </w:r>
          </w:p>
        </w:tc>
        <w:tc>
          <w:tcPr>
            <w:tcW w:w="0" w:type="auto"/>
            <w:hideMark/>
          </w:tcPr>
          <w:p w14:paraId="128B9A65" w14:textId="77777777" w:rsidR="00FA0E3A" w:rsidRPr="00275A92" w:rsidRDefault="00FA0E3A" w:rsidP="00275A92">
            <w:pPr>
              <w:jc w:val="left"/>
              <w:rPr>
                <w:rFonts w:ascii="Calibri" w:hAnsi="Calibri" w:cs="Calibri"/>
                <w:sz w:val="20"/>
              </w:rPr>
            </w:pPr>
            <w:r w:rsidRPr="00275A92">
              <w:rPr>
                <w:rFonts w:ascii="Calibri" w:hAnsi="Calibri" w:cs="Calibri"/>
                <w:sz w:val="20"/>
              </w:rPr>
              <w:t>Projet du Gouvernement ou proposition parlementaire</w:t>
            </w:r>
          </w:p>
        </w:tc>
      </w:tr>
      <w:tr w:rsidR="00FA0E3A" w:rsidRPr="00275A92" w14:paraId="72A807D0" w14:textId="77777777" w:rsidTr="00275A92">
        <w:tc>
          <w:tcPr>
            <w:tcW w:w="0" w:type="auto"/>
            <w:hideMark/>
          </w:tcPr>
          <w:p w14:paraId="1DC5F9D6" w14:textId="77777777" w:rsidR="00FA0E3A" w:rsidRPr="00275A92" w:rsidRDefault="00FA0E3A" w:rsidP="00275A92">
            <w:pPr>
              <w:pStyle w:val="Titre1"/>
            </w:pPr>
            <w:r w:rsidRPr="00275A92">
              <w:t>2. Examen en commission</w:t>
            </w:r>
          </w:p>
        </w:tc>
        <w:tc>
          <w:tcPr>
            <w:tcW w:w="0" w:type="auto"/>
            <w:hideMark/>
          </w:tcPr>
          <w:p w14:paraId="4F0E4CE0" w14:textId="77777777" w:rsidR="00FA0E3A" w:rsidRPr="00275A92" w:rsidRDefault="00FA0E3A" w:rsidP="00275A92">
            <w:pPr>
              <w:jc w:val="left"/>
              <w:rPr>
                <w:rFonts w:ascii="Calibri" w:hAnsi="Calibri" w:cs="Calibri"/>
                <w:sz w:val="20"/>
              </w:rPr>
            </w:pPr>
            <w:r w:rsidRPr="00275A92">
              <w:rPr>
                <w:rFonts w:ascii="Calibri" w:hAnsi="Calibri" w:cs="Calibri"/>
                <w:sz w:val="20"/>
              </w:rPr>
              <w:t>Étude du texte et des amendements</w:t>
            </w:r>
          </w:p>
        </w:tc>
      </w:tr>
      <w:tr w:rsidR="00FA0E3A" w:rsidRPr="00275A92" w14:paraId="79D59909" w14:textId="77777777" w:rsidTr="00275A92">
        <w:tc>
          <w:tcPr>
            <w:tcW w:w="0" w:type="auto"/>
            <w:hideMark/>
          </w:tcPr>
          <w:p w14:paraId="3340999E" w14:textId="77777777" w:rsidR="00FA0E3A" w:rsidRPr="00275A92" w:rsidRDefault="00FA0E3A" w:rsidP="00275A92">
            <w:pPr>
              <w:pStyle w:val="Titre1"/>
            </w:pPr>
            <w:r w:rsidRPr="00275A92">
              <w:t>3. Discussion et vote</w:t>
            </w:r>
          </w:p>
        </w:tc>
        <w:tc>
          <w:tcPr>
            <w:tcW w:w="0" w:type="auto"/>
            <w:hideMark/>
          </w:tcPr>
          <w:p w14:paraId="50522155" w14:textId="77777777" w:rsidR="00FA0E3A" w:rsidRPr="00275A92" w:rsidRDefault="00FA0E3A" w:rsidP="00275A92">
            <w:pPr>
              <w:jc w:val="left"/>
              <w:rPr>
                <w:rFonts w:ascii="Calibri" w:hAnsi="Calibri" w:cs="Calibri"/>
                <w:sz w:val="20"/>
              </w:rPr>
            </w:pPr>
            <w:r w:rsidRPr="00275A92">
              <w:rPr>
                <w:rFonts w:ascii="Calibri" w:hAnsi="Calibri" w:cs="Calibri"/>
                <w:sz w:val="20"/>
              </w:rPr>
              <w:t>Examen en séance publique</w:t>
            </w:r>
          </w:p>
        </w:tc>
      </w:tr>
      <w:tr w:rsidR="00FA0E3A" w:rsidRPr="00275A92" w14:paraId="5D95FC76" w14:textId="77777777" w:rsidTr="00275A92">
        <w:tc>
          <w:tcPr>
            <w:tcW w:w="0" w:type="auto"/>
            <w:hideMark/>
          </w:tcPr>
          <w:p w14:paraId="125CE256" w14:textId="77777777" w:rsidR="00FA0E3A" w:rsidRPr="00275A92" w:rsidRDefault="00FA0E3A" w:rsidP="00275A92">
            <w:pPr>
              <w:pStyle w:val="Titre1"/>
            </w:pPr>
            <w:r w:rsidRPr="00275A92">
              <w:t>4. Navette parlementaire</w:t>
            </w:r>
          </w:p>
        </w:tc>
        <w:tc>
          <w:tcPr>
            <w:tcW w:w="0" w:type="auto"/>
            <w:hideMark/>
          </w:tcPr>
          <w:p w14:paraId="1063BEA8" w14:textId="77777777" w:rsidR="00FA0E3A" w:rsidRPr="00275A92" w:rsidRDefault="00FA0E3A" w:rsidP="00275A92">
            <w:pPr>
              <w:jc w:val="left"/>
              <w:rPr>
                <w:rFonts w:ascii="Calibri" w:hAnsi="Calibri" w:cs="Calibri"/>
                <w:sz w:val="20"/>
              </w:rPr>
            </w:pPr>
            <w:r w:rsidRPr="00275A92">
              <w:rPr>
                <w:rFonts w:ascii="Calibri" w:hAnsi="Calibri" w:cs="Calibri"/>
                <w:sz w:val="20"/>
              </w:rPr>
              <w:t>Examen successif par l'Assemblée nationale et le Sénat</w:t>
            </w:r>
          </w:p>
        </w:tc>
      </w:tr>
      <w:tr w:rsidR="00FA0E3A" w:rsidRPr="00275A92" w14:paraId="21AE178D" w14:textId="77777777" w:rsidTr="00275A92">
        <w:tc>
          <w:tcPr>
            <w:tcW w:w="0" w:type="auto"/>
            <w:hideMark/>
          </w:tcPr>
          <w:p w14:paraId="5E031501" w14:textId="77777777" w:rsidR="00FA0E3A" w:rsidRPr="00275A92" w:rsidRDefault="00FA0E3A" w:rsidP="00275A92">
            <w:pPr>
              <w:pStyle w:val="Titre1"/>
            </w:pPr>
            <w:r w:rsidRPr="00275A92">
              <w:t>5. Recherche d'un accord</w:t>
            </w:r>
          </w:p>
        </w:tc>
        <w:tc>
          <w:tcPr>
            <w:tcW w:w="0" w:type="auto"/>
            <w:hideMark/>
          </w:tcPr>
          <w:p w14:paraId="3749B4E9" w14:textId="77777777" w:rsidR="00FA0E3A" w:rsidRPr="00275A92" w:rsidRDefault="00FA0E3A" w:rsidP="00275A92">
            <w:pPr>
              <w:jc w:val="left"/>
              <w:rPr>
                <w:rFonts w:ascii="Calibri" w:hAnsi="Calibri" w:cs="Calibri"/>
                <w:sz w:val="20"/>
              </w:rPr>
            </w:pPr>
            <w:r w:rsidRPr="00275A92">
              <w:rPr>
                <w:rFonts w:ascii="Calibri" w:hAnsi="Calibri" w:cs="Calibri"/>
                <w:sz w:val="20"/>
              </w:rPr>
              <w:t>Éventuellement commission mixte paritaire</w:t>
            </w:r>
          </w:p>
        </w:tc>
      </w:tr>
      <w:tr w:rsidR="00FA0E3A" w:rsidRPr="00275A92" w14:paraId="530A1832" w14:textId="77777777" w:rsidTr="00275A92">
        <w:tc>
          <w:tcPr>
            <w:tcW w:w="0" w:type="auto"/>
            <w:hideMark/>
          </w:tcPr>
          <w:p w14:paraId="2ECA4BF3" w14:textId="77777777" w:rsidR="00FA0E3A" w:rsidRPr="00275A92" w:rsidRDefault="00FA0E3A" w:rsidP="00275A92">
            <w:pPr>
              <w:pStyle w:val="Titre1"/>
            </w:pPr>
            <w:r w:rsidRPr="00275A92">
              <w:t>6. Adoption définitive</w:t>
            </w:r>
          </w:p>
        </w:tc>
        <w:tc>
          <w:tcPr>
            <w:tcW w:w="0" w:type="auto"/>
            <w:hideMark/>
          </w:tcPr>
          <w:p w14:paraId="21D066F2" w14:textId="77777777" w:rsidR="00FA0E3A" w:rsidRPr="00275A92" w:rsidRDefault="00FA0E3A" w:rsidP="00275A92">
            <w:pPr>
              <w:jc w:val="left"/>
              <w:rPr>
                <w:rFonts w:ascii="Calibri" w:hAnsi="Calibri" w:cs="Calibri"/>
                <w:sz w:val="20"/>
              </w:rPr>
            </w:pPr>
            <w:r w:rsidRPr="00275A92">
              <w:rPr>
                <w:rFonts w:ascii="Calibri" w:hAnsi="Calibri" w:cs="Calibri"/>
                <w:sz w:val="20"/>
              </w:rPr>
              <w:t>Adoption du texte définitif</w:t>
            </w:r>
          </w:p>
        </w:tc>
      </w:tr>
      <w:tr w:rsidR="00FA0E3A" w:rsidRPr="00275A92" w14:paraId="26D41973" w14:textId="77777777" w:rsidTr="00275A92">
        <w:tc>
          <w:tcPr>
            <w:tcW w:w="0" w:type="auto"/>
            <w:hideMark/>
          </w:tcPr>
          <w:p w14:paraId="454F1E8A" w14:textId="77777777" w:rsidR="00FA0E3A" w:rsidRPr="00275A92" w:rsidRDefault="00FA0E3A" w:rsidP="00275A92">
            <w:pPr>
              <w:pStyle w:val="Titre1"/>
            </w:pPr>
            <w:r w:rsidRPr="00275A92">
              <w:t>7. Contrôle de constitutionnalité éventuel</w:t>
            </w:r>
          </w:p>
        </w:tc>
        <w:tc>
          <w:tcPr>
            <w:tcW w:w="0" w:type="auto"/>
            <w:hideMark/>
          </w:tcPr>
          <w:p w14:paraId="07536EF3" w14:textId="77777777" w:rsidR="00FA0E3A" w:rsidRPr="00275A92" w:rsidRDefault="00FA0E3A" w:rsidP="00275A92">
            <w:pPr>
              <w:jc w:val="left"/>
              <w:rPr>
                <w:rFonts w:ascii="Calibri" w:hAnsi="Calibri" w:cs="Calibri"/>
                <w:sz w:val="20"/>
              </w:rPr>
            </w:pPr>
            <w:r w:rsidRPr="00275A92">
              <w:rPr>
                <w:rFonts w:ascii="Calibri" w:hAnsi="Calibri" w:cs="Calibri"/>
                <w:sz w:val="20"/>
              </w:rPr>
              <w:t>Saisine du Conseil constitutionnel</w:t>
            </w:r>
          </w:p>
        </w:tc>
      </w:tr>
      <w:tr w:rsidR="00FA0E3A" w:rsidRPr="00275A92" w14:paraId="167B35C8" w14:textId="77777777" w:rsidTr="00275A92">
        <w:tc>
          <w:tcPr>
            <w:tcW w:w="0" w:type="auto"/>
            <w:hideMark/>
          </w:tcPr>
          <w:p w14:paraId="31E11AF5" w14:textId="77777777" w:rsidR="00FA0E3A" w:rsidRPr="00275A92" w:rsidRDefault="00FA0E3A" w:rsidP="00275A92">
            <w:pPr>
              <w:pStyle w:val="Titre1"/>
            </w:pPr>
            <w:r w:rsidRPr="00275A92">
              <w:t>8. Promulgation</w:t>
            </w:r>
          </w:p>
        </w:tc>
        <w:tc>
          <w:tcPr>
            <w:tcW w:w="0" w:type="auto"/>
            <w:hideMark/>
          </w:tcPr>
          <w:p w14:paraId="23D3FC1A" w14:textId="77777777" w:rsidR="00FA0E3A" w:rsidRPr="00275A92" w:rsidRDefault="00FA0E3A" w:rsidP="00275A92">
            <w:pPr>
              <w:jc w:val="left"/>
              <w:rPr>
                <w:rFonts w:ascii="Calibri" w:hAnsi="Calibri" w:cs="Calibri"/>
                <w:sz w:val="20"/>
              </w:rPr>
            </w:pPr>
            <w:r w:rsidRPr="00275A92">
              <w:rPr>
                <w:rFonts w:ascii="Calibri" w:hAnsi="Calibri" w:cs="Calibri"/>
                <w:sz w:val="20"/>
              </w:rPr>
              <w:t>Par le Président de la République</w:t>
            </w:r>
          </w:p>
        </w:tc>
      </w:tr>
      <w:tr w:rsidR="00FA0E3A" w:rsidRPr="00275A92" w14:paraId="6003D1D5" w14:textId="77777777" w:rsidTr="00275A92">
        <w:tc>
          <w:tcPr>
            <w:tcW w:w="0" w:type="auto"/>
            <w:hideMark/>
          </w:tcPr>
          <w:p w14:paraId="0FCB0650" w14:textId="77777777" w:rsidR="00FA0E3A" w:rsidRPr="00275A92" w:rsidRDefault="00FA0E3A" w:rsidP="00275A92">
            <w:pPr>
              <w:pStyle w:val="Titre1"/>
            </w:pPr>
            <w:r w:rsidRPr="00275A92">
              <w:t>9. Publication</w:t>
            </w:r>
          </w:p>
        </w:tc>
        <w:tc>
          <w:tcPr>
            <w:tcW w:w="0" w:type="auto"/>
            <w:hideMark/>
          </w:tcPr>
          <w:p w14:paraId="7ABDD791" w14:textId="77777777" w:rsidR="00FA0E3A" w:rsidRPr="00275A92" w:rsidRDefault="00FA0E3A" w:rsidP="00275A92">
            <w:pPr>
              <w:jc w:val="left"/>
              <w:rPr>
                <w:rFonts w:ascii="Calibri" w:hAnsi="Calibri" w:cs="Calibri"/>
                <w:sz w:val="20"/>
              </w:rPr>
            </w:pPr>
            <w:r w:rsidRPr="00275A92">
              <w:rPr>
                <w:rFonts w:ascii="Calibri" w:hAnsi="Calibri" w:cs="Calibri"/>
                <w:sz w:val="20"/>
              </w:rPr>
              <w:t>Publication au Journal officiel</w:t>
            </w:r>
          </w:p>
        </w:tc>
      </w:tr>
    </w:tbl>
    <w:p w14:paraId="0D95B179" w14:textId="513A1BDE" w:rsidR="00FA0E3A" w:rsidRPr="00FA0E3A" w:rsidRDefault="00FA0E3A" w:rsidP="00275A92">
      <w:pPr>
        <w:spacing w:after="0" w:line="240" w:lineRule="auto"/>
      </w:pPr>
      <w:r w:rsidRPr="00FA0E3A">
        <w:t>L'Assemblée nationale résume la procédure en trois grandes phases</w:t>
      </w:r>
      <w:r w:rsidR="00275A92">
        <w:t> :</w:t>
      </w:r>
      <w:r w:rsidRPr="00FA0E3A">
        <w:t xml:space="preserve"> dépôt, examen par le Parlement et promulgation.</w:t>
      </w:r>
    </w:p>
    <w:p w14:paraId="42C6214F" w14:textId="77777777" w:rsidR="00FA0E3A" w:rsidRPr="00FA0E3A" w:rsidRDefault="00FA0E3A" w:rsidP="00275A92">
      <w:pPr>
        <w:spacing w:after="0" w:line="240" w:lineRule="auto"/>
      </w:pPr>
      <w:r w:rsidRPr="00FA0E3A">
        <w:t xml:space="preserve">Une loi entre en vigueur à la date qu'elle fixe. À défaut, elle entre en principe en vigueur </w:t>
      </w:r>
      <w:r w:rsidRPr="00FA0E3A">
        <w:rPr>
          <w:b/>
          <w:bCs/>
        </w:rPr>
        <w:t>le lendemain de sa publication au Journal officiel</w:t>
      </w:r>
      <w:r w:rsidRPr="00FA0E3A">
        <w:t>. Lorsque son application nécessite des mesures d'exécution, l'entrée en vigueur des dispositions concernées peut être reportée jusqu'à l'entrée en vigueur de ces mesures.</w:t>
      </w:r>
    </w:p>
    <w:p w14:paraId="45F8AFF0" w14:textId="77777777" w:rsidR="00FA0E3A" w:rsidRPr="00FA0E3A" w:rsidRDefault="00FA0E3A" w:rsidP="00275A92">
      <w:pPr>
        <w:spacing w:after="0" w:line="240" w:lineRule="auto"/>
        <w:rPr>
          <w:b/>
          <w:bCs/>
        </w:rPr>
      </w:pPr>
      <w:r w:rsidRPr="00FA0E3A">
        <w:rPr>
          <w:b/>
          <w:bCs/>
        </w:rPr>
        <w:t>Exemple</w:t>
      </w:r>
    </w:p>
    <w:p w14:paraId="708254AA" w14:textId="77777777" w:rsidR="00FA0E3A" w:rsidRPr="00FA0E3A" w:rsidRDefault="00FA0E3A" w:rsidP="00275A92">
      <w:pPr>
        <w:spacing w:after="0" w:line="240" w:lineRule="auto"/>
      </w:pPr>
      <w:r w:rsidRPr="00FA0E3A">
        <w:t>Une loi publiée le 15 septembre et ne prévoyant aucune date particulière d'entrée en vigueur est, en principe, applicable à compter du 16 septembre.</w:t>
      </w:r>
    </w:p>
    <w:p w14:paraId="52F6ECBA" w14:textId="77777777" w:rsidR="00FA0E3A" w:rsidRPr="00FA0E3A" w:rsidRDefault="00FA0E3A" w:rsidP="00275A92">
      <w:pPr>
        <w:spacing w:after="0" w:line="240" w:lineRule="auto"/>
        <w:rPr>
          <w:b/>
          <w:bCs/>
        </w:rPr>
      </w:pPr>
      <w:r w:rsidRPr="00FA0E3A">
        <w:rPr>
          <w:b/>
          <w:bCs/>
        </w:rPr>
        <w:t>Contre-exemple</w:t>
      </w:r>
    </w:p>
    <w:p w14:paraId="65E475DB" w14:textId="77777777" w:rsidR="00FA0E3A" w:rsidRPr="00FA0E3A" w:rsidRDefault="00FA0E3A" w:rsidP="00275A92">
      <w:pPr>
        <w:spacing w:after="0" w:line="240" w:lineRule="auto"/>
      </w:pPr>
      <w:r w:rsidRPr="00FA0E3A">
        <w:t>Il est incorrect de considérer qu'une loi devient nécessairement applicable le jour où le Parlement la vote. Elle doit notamment être promulguée et publiée.</w:t>
      </w:r>
    </w:p>
    <w:p w14:paraId="088A4E0B" w14:textId="77777777" w:rsidR="00FA0E3A" w:rsidRPr="00FA0E3A" w:rsidRDefault="00000000" w:rsidP="00275A92">
      <w:pPr>
        <w:spacing w:after="0" w:line="240" w:lineRule="auto"/>
      </w:pPr>
      <w:r>
        <w:pict w14:anchorId="7828EFA2">
          <v:rect id="_x0000_i1032" style="width:0;height:1.5pt" o:hralign="center" o:hrstd="t" o:hr="t" fillcolor="#a0a0a0" stroked="f"/>
        </w:pict>
      </w:r>
    </w:p>
    <w:p w14:paraId="3CE0BCA9" w14:textId="77777777" w:rsidR="00FA0E3A" w:rsidRPr="00FA0E3A" w:rsidRDefault="00FA0E3A" w:rsidP="00275A92">
      <w:pPr>
        <w:pStyle w:val="Titre1"/>
      </w:pPr>
      <w:r w:rsidRPr="00FA0E3A">
        <w:t>7. Les ordonnances</w:t>
      </w:r>
    </w:p>
    <w:p w14:paraId="14B26FDF" w14:textId="77777777" w:rsidR="00FA0E3A" w:rsidRPr="00FA0E3A" w:rsidRDefault="00FA0E3A" w:rsidP="00275A92">
      <w:pPr>
        <w:spacing w:after="0" w:line="240" w:lineRule="auto"/>
      </w:pPr>
      <w:r w:rsidRPr="00FA0E3A">
        <w:t>La Constitution permet au Gouvernement de demander au Parlement l'autorisation de prendre, pendant une durée limitée, des mesures qui relèvent normalement du domaine de la loi.</w:t>
      </w:r>
    </w:p>
    <w:p w14:paraId="1C7A74A3" w14:textId="77777777" w:rsidR="00FA0E3A" w:rsidRPr="00FA0E3A" w:rsidRDefault="00FA0E3A" w:rsidP="00275A92">
      <w:pPr>
        <w:spacing w:after="0" w:line="240" w:lineRule="auto"/>
      </w:pPr>
      <w:r w:rsidRPr="00FA0E3A">
        <w:t xml:space="preserve">Il s'agit des </w:t>
      </w:r>
      <w:r w:rsidRPr="00FA0E3A">
        <w:rPr>
          <w:b/>
          <w:bCs/>
        </w:rPr>
        <w:t>ordonnances de l'article 38 de la Constitution</w:t>
      </w:r>
      <w:r w:rsidRPr="00FA0E3A">
        <w:t>.</w:t>
      </w:r>
    </w:p>
    <w:p w14:paraId="20D954A7" w14:textId="282FC010" w:rsidR="00FA0E3A" w:rsidRPr="00FA0E3A" w:rsidRDefault="00FA0E3A" w:rsidP="00275A92">
      <w:pPr>
        <w:spacing w:after="0" w:line="240" w:lineRule="auto"/>
      </w:pPr>
      <w:r w:rsidRPr="00FA0E3A">
        <w:t>Le mécanisme comporte principalement</w:t>
      </w:r>
      <w:r w:rsidR="00275A92">
        <w:t> :</w:t>
      </w:r>
    </w:p>
    <w:p w14:paraId="4C91506D" w14:textId="1FC1A910" w:rsidR="00FA0E3A" w:rsidRPr="00FA0E3A" w:rsidRDefault="00FA0E3A" w:rsidP="00275A92">
      <w:pPr>
        <w:numPr>
          <w:ilvl w:val="0"/>
          <w:numId w:val="21"/>
        </w:numPr>
        <w:spacing w:after="0" w:line="240" w:lineRule="auto"/>
      </w:pPr>
      <w:r w:rsidRPr="00FA0E3A">
        <w:t xml:space="preserve">une </w:t>
      </w:r>
      <w:r w:rsidRPr="00FA0E3A">
        <w:rPr>
          <w:b/>
          <w:bCs/>
        </w:rPr>
        <w:t>habilitation donnée par le Parlement</w:t>
      </w:r>
      <w:r w:rsidR="00275A92">
        <w:t> ;</w:t>
      </w:r>
    </w:p>
    <w:p w14:paraId="7DC7438E" w14:textId="31837BDC" w:rsidR="00FA0E3A" w:rsidRPr="00FA0E3A" w:rsidRDefault="00FA0E3A" w:rsidP="00275A92">
      <w:pPr>
        <w:numPr>
          <w:ilvl w:val="0"/>
          <w:numId w:val="21"/>
        </w:numPr>
        <w:spacing w:after="0" w:line="240" w:lineRule="auto"/>
      </w:pPr>
      <w:r w:rsidRPr="00FA0E3A">
        <w:t>l'adoption de l'ordonnance par le Gouvernement</w:t>
      </w:r>
      <w:r w:rsidR="00275A92">
        <w:t> ;</w:t>
      </w:r>
    </w:p>
    <w:p w14:paraId="6077963F" w14:textId="7E2D5287" w:rsidR="00FA0E3A" w:rsidRPr="00FA0E3A" w:rsidRDefault="00FA0E3A" w:rsidP="00275A92">
      <w:pPr>
        <w:numPr>
          <w:ilvl w:val="0"/>
          <w:numId w:val="21"/>
        </w:numPr>
        <w:spacing w:after="0" w:line="240" w:lineRule="auto"/>
      </w:pPr>
      <w:r w:rsidRPr="00FA0E3A">
        <w:lastRenderedPageBreak/>
        <w:t>sa publication</w:t>
      </w:r>
      <w:r w:rsidR="00275A92">
        <w:t> ;</w:t>
      </w:r>
    </w:p>
    <w:p w14:paraId="66CBCBDF" w14:textId="1804AAEA" w:rsidR="00FA0E3A" w:rsidRPr="00FA0E3A" w:rsidRDefault="00FA0E3A" w:rsidP="00275A92">
      <w:pPr>
        <w:numPr>
          <w:ilvl w:val="0"/>
          <w:numId w:val="21"/>
        </w:numPr>
        <w:spacing w:after="0" w:line="240" w:lineRule="auto"/>
      </w:pPr>
      <w:r w:rsidRPr="00FA0E3A">
        <w:t>le dépôt d'un projet de loi de ratification dans le délai prévu</w:t>
      </w:r>
      <w:r w:rsidR="00275A92">
        <w:t> ;</w:t>
      </w:r>
    </w:p>
    <w:p w14:paraId="335913D0" w14:textId="77777777" w:rsidR="00FA0E3A" w:rsidRPr="00FA0E3A" w:rsidRDefault="00FA0E3A" w:rsidP="00275A92">
      <w:pPr>
        <w:numPr>
          <w:ilvl w:val="0"/>
          <w:numId w:val="21"/>
        </w:numPr>
        <w:spacing w:after="0" w:line="240" w:lineRule="auto"/>
      </w:pPr>
      <w:r w:rsidRPr="00FA0E3A">
        <w:t>éventuellement sa ratification par le Parlement.</w:t>
      </w:r>
    </w:p>
    <w:p w14:paraId="7B59D851" w14:textId="77777777" w:rsidR="00FA0E3A" w:rsidRPr="00FA0E3A" w:rsidRDefault="00FA0E3A" w:rsidP="00275A92">
      <w:pPr>
        <w:spacing w:after="0" w:line="240" w:lineRule="auto"/>
      </w:pPr>
      <w:r w:rsidRPr="00FA0E3A">
        <w:t>L'ordonnance constitue donc un mécanisme particulier permettant au pouvoir exécutif d'intervenir dans le domaine normalement réservé au législateur. Son régime juridique dépend notamment de son stade dans la procédure et de sa ratification.</w:t>
      </w:r>
    </w:p>
    <w:p w14:paraId="40CC9FC0" w14:textId="77777777" w:rsidR="00FA0E3A" w:rsidRPr="00FA0E3A" w:rsidRDefault="00000000" w:rsidP="00275A92">
      <w:pPr>
        <w:spacing w:after="0" w:line="240" w:lineRule="auto"/>
      </w:pPr>
      <w:r>
        <w:pict w14:anchorId="557E1568">
          <v:rect id="_x0000_i1033" style="width:0;height:1.5pt" o:hralign="center" o:hrstd="t" o:hr="t" fillcolor="#a0a0a0" stroked="f"/>
        </w:pict>
      </w:r>
    </w:p>
    <w:p w14:paraId="05195A33" w14:textId="77777777" w:rsidR="00FA0E3A" w:rsidRPr="00FA0E3A" w:rsidRDefault="00FA0E3A" w:rsidP="00275A92">
      <w:pPr>
        <w:pStyle w:val="Titre1"/>
      </w:pPr>
      <w:r w:rsidRPr="00FA0E3A">
        <w:t>8. Les règlements</w:t>
      </w:r>
    </w:p>
    <w:p w14:paraId="38A61B03" w14:textId="77777777" w:rsidR="00FA0E3A" w:rsidRPr="00FA0E3A" w:rsidRDefault="00FA0E3A" w:rsidP="00275A92">
      <w:pPr>
        <w:spacing w:after="0" w:line="240" w:lineRule="auto"/>
      </w:pPr>
      <w:r w:rsidRPr="00FA0E3A">
        <w:t xml:space="preserve">Les matières qui ne relèvent pas du domaine de la loi ont, en principe, un </w:t>
      </w:r>
      <w:r w:rsidRPr="00FA0E3A">
        <w:rPr>
          <w:b/>
          <w:bCs/>
        </w:rPr>
        <w:t>caractère réglementaire</w:t>
      </w:r>
      <w:r w:rsidRPr="00FA0E3A">
        <w:t>.</w:t>
      </w:r>
    </w:p>
    <w:p w14:paraId="57671CAD" w14:textId="3DDDA2A8" w:rsidR="00FA0E3A" w:rsidRPr="00FA0E3A" w:rsidRDefault="00FA0E3A" w:rsidP="00275A92">
      <w:pPr>
        <w:spacing w:after="0" w:line="240" w:lineRule="auto"/>
      </w:pPr>
      <w:r w:rsidRPr="00FA0E3A">
        <w:t>Le pouvoir réglementaire produit notamment</w:t>
      </w:r>
      <w:r w:rsidR="00275A92">
        <w:t> :</w:t>
      </w:r>
    </w:p>
    <w:p w14:paraId="29C409D7" w14:textId="38A59339" w:rsidR="00FA0E3A" w:rsidRPr="00FA0E3A" w:rsidRDefault="00FA0E3A" w:rsidP="00275A92">
      <w:pPr>
        <w:numPr>
          <w:ilvl w:val="0"/>
          <w:numId w:val="22"/>
        </w:numPr>
        <w:spacing w:after="0" w:line="240" w:lineRule="auto"/>
      </w:pPr>
      <w:r w:rsidRPr="00FA0E3A">
        <w:t xml:space="preserve">des </w:t>
      </w:r>
      <w:r w:rsidRPr="00FA0E3A">
        <w:rPr>
          <w:b/>
          <w:bCs/>
        </w:rPr>
        <w:t>décrets</w:t>
      </w:r>
      <w:r w:rsidR="00275A92">
        <w:t> ;</w:t>
      </w:r>
    </w:p>
    <w:p w14:paraId="60BA53A5" w14:textId="043AE08B" w:rsidR="00FA0E3A" w:rsidRPr="00FA0E3A" w:rsidRDefault="00FA0E3A" w:rsidP="00275A92">
      <w:pPr>
        <w:numPr>
          <w:ilvl w:val="0"/>
          <w:numId w:val="22"/>
        </w:numPr>
        <w:spacing w:after="0" w:line="240" w:lineRule="auto"/>
      </w:pPr>
      <w:r w:rsidRPr="00FA0E3A">
        <w:t xml:space="preserve">des </w:t>
      </w:r>
      <w:r w:rsidRPr="00FA0E3A">
        <w:rPr>
          <w:b/>
          <w:bCs/>
        </w:rPr>
        <w:t>arrêtés ministériels</w:t>
      </w:r>
      <w:r w:rsidR="00275A92">
        <w:t> ;</w:t>
      </w:r>
    </w:p>
    <w:p w14:paraId="6727D946" w14:textId="59323692" w:rsidR="00FA0E3A" w:rsidRPr="00FA0E3A" w:rsidRDefault="00FA0E3A" w:rsidP="00275A92">
      <w:pPr>
        <w:numPr>
          <w:ilvl w:val="0"/>
          <w:numId w:val="22"/>
        </w:numPr>
        <w:spacing w:after="0" w:line="240" w:lineRule="auto"/>
      </w:pPr>
      <w:r w:rsidRPr="00FA0E3A">
        <w:t xml:space="preserve">des </w:t>
      </w:r>
      <w:r w:rsidRPr="00FA0E3A">
        <w:rPr>
          <w:b/>
          <w:bCs/>
        </w:rPr>
        <w:t>arrêtés préfectoraux</w:t>
      </w:r>
      <w:r w:rsidR="00275A92">
        <w:t> ;</w:t>
      </w:r>
    </w:p>
    <w:p w14:paraId="7EC747B0" w14:textId="77777777" w:rsidR="00FA0E3A" w:rsidRPr="00FA0E3A" w:rsidRDefault="00FA0E3A" w:rsidP="00275A92">
      <w:pPr>
        <w:numPr>
          <w:ilvl w:val="0"/>
          <w:numId w:val="22"/>
        </w:numPr>
        <w:spacing w:after="0" w:line="240" w:lineRule="auto"/>
      </w:pPr>
      <w:r w:rsidRPr="00FA0E3A">
        <w:t xml:space="preserve">des </w:t>
      </w:r>
      <w:r w:rsidRPr="00FA0E3A">
        <w:rPr>
          <w:b/>
          <w:bCs/>
        </w:rPr>
        <w:t>arrêtés municipaux</w:t>
      </w:r>
      <w:r w:rsidRPr="00FA0E3A">
        <w:t>.</w:t>
      </w:r>
    </w:p>
    <w:p w14:paraId="3E163568" w14:textId="77777777" w:rsidR="00FA0E3A" w:rsidRPr="00FA0E3A" w:rsidRDefault="00FA0E3A" w:rsidP="00275A92">
      <w:pPr>
        <w:spacing w:after="0" w:line="240" w:lineRule="auto"/>
      </w:pPr>
      <w:r w:rsidRPr="00FA0E3A">
        <w:t>Un règlement doit respecter les normes qui lui sont supérieures.</w:t>
      </w:r>
    </w:p>
    <w:p w14:paraId="750BA408" w14:textId="77777777" w:rsidR="00FA0E3A" w:rsidRPr="00FA0E3A" w:rsidRDefault="00FA0E3A" w:rsidP="00275A92">
      <w:pPr>
        <w:spacing w:after="0" w:line="240" w:lineRule="auto"/>
        <w:rPr>
          <w:b/>
          <w:bCs/>
        </w:rPr>
      </w:pPr>
      <w:r w:rsidRPr="00FA0E3A">
        <w:rPr>
          <w:b/>
          <w:bCs/>
        </w:rPr>
        <w:t>Exemple</w:t>
      </w:r>
    </w:p>
    <w:p w14:paraId="5AA0AB29" w14:textId="77777777" w:rsidR="00FA0E3A" w:rsidRPr="00FA0E3A" w:rsidRDefault="00FA0E3A" w:rsidP="00275A92">
      <w:pPr>
        <w:spacing w:after="0" w:line="240" w:lineRule="auto"/>
      </w:pPr>
      <w:r w:rsidRPr="00FA0E3A">
        <w:t>Un arrêté municipal ne peut légalement méconnaître un décret qui lui est applicable.</w:t>
      </w:r>
    </w:p>
    <w:p w14:paraId="60D31F3B" w14:textId="77777777" w:rsidR="00FA0E3A" w:rsidRPr="00FA0E3A" w:rsidRDefault="00FA0E3A" w:rsidP="00275A92">
      <w:pPr>
        <w:spacing w:after="0" w:line="240" w:lineRule="auto"/>
        <w:rPr>
          <w:b/>
          <w:bCs/>
        </w:rPr>
      </w:pPr>
      <w:r w:rsidRPr="00FA0E3A">
        <w:rPr>
          <w:b/>
          <w:bCs/>
        </w:rPr>
        <w:t>Contre-exemple</w:t>
      </w:r>
    </w:p>
    <w:p w14:paraId="1E620462" w14:textId="77777777" w:rsidR="00FA0E3A" w:rsidRPr="00FA0E3A" w:rsidRDefault="00FA0E3A" w:rsidP="00275A92">
      <w:pPr>
        <w:spacing w:after="0" w:line="240" w:lineRule="auto"/>
      </w:pPr>
      <w:r w:rsidRPr="00FA0E3A">
        <w:t>Une circulaire administrative n'a pas automatiquement la même valeur juridique qu'un décret. La qualification et les effets d'un document administratif dépendent de son contenu et de sa nature.</w:t>
      </w:r>
    </w:p>
    <w:p w14:paraId="314EF74C" w14:textId="77777777" w:rsidR="00FA0E3A" w:rsidRPr="00FA0E3A" w:rsidRDefault="00000000" w:rsidP="00275A92">
      <w:pPr>
        <w:spacing w:after="0" w:line="240" w:lineRule="auto"/>
      </w:pPr>
      <w:r>
        <w:pict w14:anchorId="610824D9">
          <v:rect id="_x0000_i1034" style="width:0;height:1.5pt" o:hralign="center" o:hrstd="t" o:hr="t" fillcolor="#a0a0a0" stroked="f"/>
        </w:pict>
      </w:r>
    </w:p>
    <w:p w14:paraId="3D71F454" w14:textId="77777777" w:rsidR="00FA0E3A" w:rsidRPr="00FA0E3A" w:rsidRDefault="00FA0E3A" w:rsidP="00275A92">
      <w:pPr>
        <w:pStyle w:val="Titre1"/>
      </w:pPr>
      <w:r w:rsidRPr="00FA0E3A">
        <w:t>9. La jurisprudence</w:t>
      </w:r>
    </w:p>
    <w:p w14:paraId="57B70C90" w14:textId="77777777" w:rsidR="00FA0E3A" w:rsidRPr="00FA0E3A" w:rsidRDefault="00FA0E3A" w:rsidP="00275A92">
      <w:pPr>
        <w:spacing w:after="0" w:line="240" w:lineRule="auto"/>
      </w:pPr>
      <w:r w:rsidRPr="00FA0E3A">
        <w:t xml:space="preserve">La </w:t>
      </w:r>
      <w:r w:rsidRPr="00FA0E3A">
        <w:rPr>
          <w:b/>
          <w:bCs/>
        </w:rPr>
        <w:t>jurisprudence</w:t>
      </w:r>
      <w:r w:rsidRPr="00FA0E3A">
        <w:t xml:space="preserve"> désigne, selon le contexte, l'ensemble des décisions rendues par les juridictions ou les solutions qui se dégagent de manière relativement constante de ces décisions.</w:t>
      </w:r>
    </w:p>
    <w:p w14:paraId="2469C62F" w14:textId="77777777" w:rsidR="00FA0E3A" w:rsidRPr="00FA0E3A" w:rsidRDefault="00FA0E3A" w:rsidP="00275A92">
      <w:pPr>
        <w:spacing w:after="0" w:line="240" w:lineRule="auto"/>
      </w:pPr>
      <w:r w:rsidRPr="00FA0E3A">
        <w:t>Elle constitue une source essentielle d'interprétation et d'évolution du droit.</w:t>
      </w:r>
    </w:p>
    <w:p w14:paraId="08E4B2B3" w14:textId="77777777" w:rsidR="00FA0E3A" w:rsidRPr="00FA0E3A" w:rsidRDefault="00FA0E3A" w:rsidP="00275A92">
      <w:pPr>
        <w:spacing w:after="0" w:line="240" w:lineRule="auto"/>
      </w:pPr>
      <w:r w:rsidRPr="00FA0E3A">
        <w:t>Le juge doit trancher le litige qui lui est soumis, même lorsque la loi est silencieuse, obscure ou insuffisante. Le Code civil interdit cependant au juge de poser, à l'occasion d'une affaire, une règle générale et réglementaire destinée à s'appliquer abstraitement à tous les litiges futurs.</w:t>
      </w:r>
    </w:p>
    <w:p w14:paraId="48A8244A" w14:textId="2C757439" w:rsidR="00FA0E3A" w:rsidRPr="00FA0E3A" w:rsidRDefault="00FA0E3A" w:rsidP="00275A92">
      <w:pPr>
        <w:spacing w:after="0" w:line="240" w:lineRule="auto"/>
      </w:pPr>
      <w:r w:rsidRPr="00FA0E3A">
        <w:t>Cela explique la situation particulière de la jurisprudence</w:t>
      </w:r>
      <w:r w:rsidR="00275A92">
        <w:t> :</w:t>
      </w:r>
    </w:p>
    <w:p w14:paraId="75850B9D" w14:textId="01B86CAA" w:rsidR="00FA0E3A" w:rsidRPr="00FA0E3A" w:rsidRDefault="00FA0E3A" w:rsidP="00275A92">
      <w:pPr>
        <w:numPr>
          <w:ilvl w:val="0"/>
          <w:numId w:val="23"/>
        </w:numPr>
        <w:spacing w:after="0" w:line="240" w:lineRule="auto"/>
      </w:pPr>
      <w:r w:rsidRPr="00FA0E3A">
        <w:t xml:space="preserve">le juge </w:t>
      </w:r>
      <w:r w:rsidRPr="00FA0E3A">
        <w:rPr>
          <w:b/>
          <w:bCs/>
        </w:rPr>
        <w:t>interprète</w:t>
      </w:r>
      <w:r w:rsidRPr="00FA0E3A">
        <w:t xml:space="preserve"> les textes</w:t>
      </w:r>
      <w:r w:rsidR="00275A92">
        <w:t> ;</w:t>
      </w:r>
    </w:p>
    <w:p w14:paraId="0C1B72FC" w14:textId="3A195E3A" w:rsidR="00FA0E3A" w:rsidRPr="00FA0E3A" w:rsidRDefault="00FA0E3A" w:rsidP="00275A92">
      <w:pPr>
        <w:numPr>
          <w:ilvl w:val="0"/>
          <w:numId w:val="23"/>
        </w:numPr>
        <w:spacing w:after="0" w:line="240" w:lineRule="auto"/>
      </w:pPr>
      <w:r w:rsidRPr="00FA0E3A">
        <w:t>il peut préciser leurs conditions d'application</w:t>
      </w:r>
      <w:r w:rsidR="00275A92">
        <w:t> ;</w:t>
      </w:r>
    </w:p>
    <w:p w14:paraId="1416E539" w14:textId="1F7384F2" w:rsidR="00FA0E3A" w:rsidRPr="00FA0E3A" w:rsidRDefault="00FA0E3A" w:rsidP="00275A92">
      <w:pPr>
        <w:numPr>
          <w:ilvl w:val="0"/>
          <w:numId w:val="23"/>
        </w:numPr>
        <w:spacing w:after="0" w:line="240" w:lineRule="auto"/>
      </w:pPr>
      <w:r w:rsidRPr="00FA0E3A">
        <w:t>des solutions jurisprudentielles répétées deviennent des références essentielles</w:t>
      </w:r>
      <w:r w:rsidR="00275A92">
        <w:t> ;</w:t>
      </w:r>
    </w:p>
    <w:p w14:paraId="4D646D9C" w14:textId="77777777" w:rsidR="00FA0E3A" w:rsidRPr="00FA0E3A" w:rsidRDefault="00FA0E3A" w:rsidP="00275A92">
      <w:pPr>
        <w:numPr>
          <w:ilvl w:val="0"/>
          <w:numId w:val="23"/>
        </w:numPr>
        <w:spacing w:after="0" w:line="240" w:lineRule="auto"/>
      </w:pPr>
      <w:r w:rsidRPr="00FA0E3A">
        <w:t>mais une décision juridictionnelle n'est pas, en principe, l'équivalent d'une loi ou d'un règlement général.</w:t>
      </w:r>
    </w:p>
    <w:p w14:paraId="20CDD277" w14:textId="77777777" w:rsidR="00FA0E3A" w:rsidRPr="00FA0E3A" w:rsidRDefault="00FA0E3A" w:rsidP="00275A92">
      <w:pPr>
        <w:spacing w:after="0" w:line="240" w:lineRule="auto"/>
        <w:rPr>
          <w:b/>
          <w:bCs/>
        </w:rPr>
      </w:pPr>
      <w:r w:rsidRPr="00FA0E3A">
        <w:rPr>
          <w:b/>
          <w:bCs/>
        </w:rPr>
        <w:t>Exemple</w:t>
      </w:r>
    </w:p>
    <w:p w14:paraId="130FDC13" w14:textId="77777777" w:rsidR="00FA0E3A" w:rsidRPr="00FA0E3A" w:rsidRDefault="00FA0E3A" w:rsidP="00275A92">
      <w:pPr>
        <w:spacing w:after="0" w:line="240" w:lineRule="auto"/>
      </w:pPr>
      <w:r w:rsidRPr="00FA0E3A">
        <w:t>Si la Cour de cassation précise la manière d'interpréter une notion du Code civil, cette jurisprudence guidera fortement les juridictions amenées à résoudre des affaires similaires.</w:t>
      </w:r>
    </w:p>
    <w:p w14:paraId="627A8B42" w14:textId="77777777" w:rsidR="00FA0E3A" w:rsidRPr="00FA0E3A" w:rsidRDefault="00FA0E3A" w:rsidP="00275A92">
      <w:pPr>
        <w:spacing w:after="0" w:line="240" w:lineRule="auto"/>
        <w:rPr>
          <w:b/>
          <w:bCs/>
        </w:rPr>
      </w:pPr>
      <w:r w:rsidRPr="00FA0E3A">
        <w:rPr>
          <w:b/>
          <w:bCs/>
        </w:rPr>
        <w:t>Contre-exemple</w:t>
      </w:r>
    </w:p>
    <w:p w14:paraId="123D5253" w14:textId="6B5242BC" w:rsidR="00FA0E3A" w:rsidRPr="00FA0E3A" w:rsidRDefault="00FA0E3A" w:rsidP="00275A92">
      <w:pPr>
        <w:spacing w:after="0" w:line="240" w:lineRule="auto"/>
      </w:pPr>
      <w:r w:rsidRPr="00FA0E3A">
        <w:t xml:space="preserve">Une décision isolée d'un tribunal judiciaire ne doit pas être présentée comme une </w:t>
      </w:r>
      <w:r w:rsidR="00275A92">
        <w:t>« </w:t>
      </w:r>
      <w:r w:rsidRPr="00FA0E3A">
        <w:t>nouvelle loi</w:t>
      </w:r>
      <w:r w:rsidR="00275A92">
        <w:t> »</w:t>
      </w:r>
      <w:r w:rsidRPr="00FA0E3A">
        <w:t>.</w:t>
      </w:r>
    </w:p>
    <w:p w14:paraId="558BEA7B" w14:textId="77777777" w:rsidR="00FA0E3A" w:rsidRPr="00FA0E3A" w:rsidRDefault="00000000" w:rsidP="00275A92">
      <w:pPr>
        <w:spacing w:after="0" w:line="240" w:lineRule="auto"/>
      </w:pPr>
      <w:r>
        <w:pict w14:anchorId="107A9285">
          <v:rect id="_x0000_i1035" style="width:0;height:1.5pt" o:hralign="center" o:hrstd="t" o:hr="t" fillcolor="#a0a0a0" stroked="f"/>
        </w:pict>
      </w:r>
    </w:p>
    <w:p w14:paraId="73AF5097" w14:textId="77777777" w:rsidR="00FA0E3A" w:rsidRPr="00FA0E3A" w:rsidRDefault="00FA0E3A" w:rsidP="00275A92">
      <w:pPr>
        <w:pStyle w:val="Titre1"/>
      </w:pPr>
      <w:r w:rsidRPr="00FA0E3A">
        <w:t>10. La doctrine et les usages professionnels</w:t>
      </w:r>
    </w:p>
    <w:p w14:paraId="27B39DE1" w14:textId="77777777" w:rsidR="00FA0E3A" w:rsidRPr="00FA0E3A" w:rsidRDefault="00FA0E3A" w:rsidP="00275A92">
      <w:pPr>
        <w:spacing w:after="0" w:line="240" w:lineRule="auto"/>
        <w:rPr>
          <w:b/>
          <w:bCs/>
        </w:rPr>
      </w:pPr>
      <w:r w:rsidRPr="00FA0E3A">
        <w:rPr>
          <w:b/>
          <w:bCs/>
        </w:rPr>
        <w:t>10.1 La doctrine</w:t>
      </w:r>
    </w:p>
    <w:p w14:paraId="30BC7F4E" w14:textId="77777777" w:rsidR="00FA0E3A" w:rsidRPr="00FA0E3A" w:rsidRDefault="00FA0E3A" w:rsidP="00275A92">
      <w:pPr>
        <w:spacing w:after="0" w:line="240" w:lineRule="auto"/>
      </w:pPr>
      <w:r w:rsidRPr="00FA0E3A">
        <w:t xml:space="preserve">La </w:t>
      </w:r>
      <w:r w:rsidRPr="00FA0E3A">
        <w:rPr>
          <w:b/>
          <w:bCs/>
        </w:rPr>
        <w:t>doctrine</w:t>
      </w:r>
      <w:r w:rsidRPr="00FA0E3A">
        <w:t xml:space="preserve"> désigne les analyses et opinions émises sur le droit par les universitaires, chercheurs et praticiens.</w:t>
      </w:r>
    </w:p>
    <w:p w14:paraId="4A6CA083" w14:textId="46F4D30D" w:rsidR="00FA0E3A" w:rsidRPr="00FA0E3A" w:rsidRDefault="00FA0E3A" w:rsidP="00275A92">
      <w:pPr>
        <w:spacing w:after="0" w:line="240" w:lineRule="auto"/>
      </w:pPr>
      <w:r w:rsidRPr="00FA0E3A">
        <w:t>Elle peut</w:t>
      </w:r>
      <w:r w:rsidR="00275A92">
        <w:t> :</w:t>
      </w:r>
    </w:p>
    <w:p w14:paraId="44569EE0" w14:textId="3BB27394" w:rsidR="00FA0E3A" w:rsidRPr="00FA0E3A" w:rsidRDefault="00FA0E3A" w:rsidP="00275A92">
      <w:pPr>
        <w:numPr>
          <w:ilvl w:val="0"/>
          <w:numId w:val="24"/>
        </w:numPr>
        <w:spacing w:after="0" w:line="240" w:lineRule="auto"/>
      </w:pPr>
      <w:r w:rsidRPr="00FA0E3A">
        <w:t>expliquer une règle</w:t>
      </w:r>
      <w:r w:rsidR="00275A92">
        <w:t> ;</w:t>
      </w:r>
    </w:p>
    <w:p w14:paraId="4A19D6AF" w14:textId="169A0E96" w:rsidR="00FA0E3A" w:rsidRPr="00FA0E3A" w:rsidRDefault="00FA0E3A" w:rsidP="00275A92">
      <w:pPr>
        <w:numPr>
          <w:ilvl w:val="0"/>
          <w:numId w:val="24"/>
        </w:numPr>
        <w:spacing w:after="0" w:line="240" w:lineRule="auto"/>
      </w:pPr>
      <w:r w:rsidRPr="00FA0E3A">
        <w:t>commenter une décision de justice</w:t>
      </w:r>
      <w:r w:rsidR="00275A92">
        <w:t> ;</w:t>
      </w:r>
    </w:p>
    <w:p w14:paraId="5C4DD336" w14:textId="1C3A5B0C" w:rsidR="00FA0E3A" w:rsidRPr="00FA0E3A" w:rsidRDefault="00FA0E3A" w:rsidP="00275A92">
      <w:pPr>
        <w:numPr>
          <w:ilvl w:val="0"/>
          <w:numId w:val="24"/>
        </w:numPr>
        <w:spacing w:after="0" w:line="240" w:lineRule="auto"/>
      </w:pPr>
      <w:r w:rsidRPr="00FA0E3A">
        <w:t>critiquer une solution</w:t>
      </w:r>
      <w:r w:rsidR="00275A92">
        <w:t> ;</w:t>
      </w:r>
    </w:p>
    <w:p w14:paraId="30AC9E14" w14:textId="77777777" w:rsidR="00FA0E3A" w:rsidRPr="00FA0E3A" w:rsidRDefault="00FA0E3A" w:rsidP="00275A92">
      <w:pPr>
        <w:numPr>
          <w:ilvl w:val="0"/>
          <w:numId w:val="24"/>
        </w:numPr>
        <w:spacing w:after="0" w:line="240" w:lineRule="auto"/>
      </w:pPr>
      <w:r w:rsidRPr="00FA0E3A">
        <w:t>proposer une évolution du droit.</w:t>
      </w:r>
    </w:p>
    <w:p w14:paraId="69392879" w14:textId="77777777" w:rsidR="00FA0E3A" w:rsidRPr="00FA0E3A" w:rsidRDefault="00FA0E3A" w:rsidP="00275A92">
      <w:pPr>
        <w:spacing w:after="0" w:line="240" w:lineRule="auto"/>
      </w:pPr>
      <w:r w:rsidRPr="00FA0E3A">
        <w:lastRenderedPageBreak/>
        <w:t>Elle ne possède toutefois pas, par elle-même, la force obligatoire d'une loi, d'un règlement ou d'une décision juridictionnelle rendue dans un litige.</w:t>
      </w:r>
    </w:p>
    <w:p w14:paraId="50D2A789" w14:textId="77777777" w:rsidR="00FA0E3A" w:rsidRPr="00FA0E3A" w:rsidRDefault="00FA0E3A" w:rsidP="00275A92">
      <w:pPr>
        <w:spacing w:after="0" w:line="240" w:lineRule="auto"/>
        <w:rPr>
          <w:b/>
          <w:bCs/>
        </w:rPr>
      </w:pPr>
      <w:r w:rsidRPr="00FA0E3A">
        <w:rPr>
          <w:b/>
          <w:bCs/>
        </w:rPr>
        <w:t>Exemple</w:t>
      </w:r>
    </w:p>
    <w:p w14:paraId="3C721D18" w14:textId="77777777" w:rsidR="00FA0E3A" w:rsidRPr="00FA0E3A" w:rsidRDefault="00FA0E3A" w:rsidP="00275A92">
      <w:pPr>
        <w:spacing w:after="0" w:line="240" w:lineRule="auto"/>
      </w:pPr>
      <w:r w:rsidRPr="00FA0E3A">
        <w:t>L'article d'un professeur de droit peut constituer une analyse particulièrement pertinente d'une réforme.</w:t>
      </w:r>
    </w:p>
    <w:p w14:paraId="00D2F1E5" w14:textId="77777777" w:rsidR="00FA0E3A" w:rsidRPr="00FA0E3A" w:rsidRDefault="00FA0E3A" w:rsidP="00275A92">
      <w:pPr>
        <w:spacing w:after="0" w:line="240" w:lineRule="auto"/>
        <w:rPr>
          <w:b/>
          <w:bCs/>
        </w:rPr>
      </w:pPr>
      <w:r w:rsidRPr="00FA0E3A">
        <w:rPr>
          <w:b/>
          <w:bCs/>
        </w:rPr>
        <w:t>Contre-exemple</w:t>
      </w:r>
    </w:p>
    <w:p w14:paraId="37969F4E" w14:textId="77777777" w:rsidR="00FA0E3A" w:rsidRPr="00FA0E3A" w:rsidRDefault="00FA0E3A" w:rsidP="00275A92">
      <w:pPr>
        <w:spacing w:after="0" w:line="240" w:lineRule="auto"/>
      </w:pPr>
      <w:r w:rsidRPr="00FA0E3A">
        <w:t>Un commentaire publié dans une revue juridique ne permet pas d'écarter le texte d'un décret qui lui serait contraire.</w:t>
      </w:r>
    </w:p>
    <w:p w14:paraId="286A4742" w14:textId="77777777" w:rsidR="00FA0E3A" w:rsidRPr="00FA0E3A" w:rsidRDefault="00000000" w:rsidP="00275A92">
      <w:pPr>
        <w:spacing w:after="0" w:line="240" w:lineRule="auto"/>
      </w:pPr>
      <w:r>
        <w:pict w14:anchorId="4953AB31">
          <v:rect id="_x0000_i1036" style="width:0;height:1.5pt" o:hralign="center" o:hrstd="t" o:hr="t" fillcolor="#a0a0a0" stroked="f"/>
        </w:pict>
      </w:r>
    </w:p>
    <w:p w14:paraId="103C7EB4" w14:textId="77777777" w:rsidR="00FA0E3A" w:rsidRPr="00FA0E3A" w:rsidRDefault="00FA0E3A" w:rsidP="00275A92">
      <w:pPr>
        <w:spacing w:after="0" w:line="240" w:lineRule="auto"/>
        <w:rPr>
          <w:b/>
          <w:bCs/>
        </w:rPr>
      </w:pPr>
      <w:r w:rsidRPr="00FA0E3A">
        <w:rPr>
          <w:b/>
          <w:bCs/>
        </w:rPr>
        <w:t>10.2 Les usages professionnels</w:t>
      </w:r>
    </w:p>
    <w:p w14:paraId="7BD57D0E" w14:textId="77777777" w:rsidR="00FA0E3A" w:rsidRPr="00FA0E3A" w:rsidRDefault="00FA0E3A" w:rsidP="00275A92">
      <w:pPr>
        <w:spacing w:after="0" w:line="240" w:lineRule="auto"/>
      </w:pPr>
      <w:r w:rsidRPr="00FA0E3A">
        <w:t xml:space="preserve">Un </w:t>
      </w:r>
      <w:r w:rsidRPr="00FA0E3A">
        <w:rPr>
          <w:b/>
          <w:bCs/>
        </w:rPr>
        <w:t>usage professionnel</w:t>
      </w:r>
      <w:r w:rsidRPr="00FA0E3A">
        <w:t xml:space="preserve"> est une pratique suivie dans un secteur ou une profession et susceptible, lorsque les conditions juridiques requises sont réunies, de produire certains effets de droit.</w:t>
      </w:r>
    </w:p>
    <w:p w14:paraId="482B6EBB" w14:textId="77777777" w:rsidR="00FA0E3A" w:rsidRPr="00FA0E3A" w:rsidRDefault="00FA0E3A" w:rsidP="00275A92">
      <w:pPr>
        <w:spacing w:after="0" w:line="240" w:lineRule="auto"/>
      </w:pPr>
      <w:r w:rsidRPr="00FA0E3A">
        <w:t>Sa force juridique dépend de la matière concernée et du contexte.</w:t>
      </w:r>
    </w:p>
    <w:p w14:paraId="4543E475" w14:textId="77777777" w:rsidR="00FA0E3A" w:rsidRPr="00FA0E3A" w:rsidRDefault="00FA0E3A" w:rsidP="00275A92">
      <w:pPr>
        <w:spacing w:after="0" w:line="240" w:lineRule="auto"/>
      </w:pPr>
      <w:r w:rsidRPr="00FA0E3A">
        <w:t>L'usage ne peut pas être considéré comme systématiquement supérieur à la loi.</w:t>
      </w:r>
    </w:p>
    <w:p w14:paraId="58A04541" w14:textId="77777777" w:rsidR="00FA0E3A" w:rsidRPr="00FA0E3A" w:rsidRDefault="00FA0E3A" w:rsidP="00275A92">
      <w:pPr>
        <w:spacing w:after="0" w:line="240" w:lineRule="auto"/>
        <w:rPr>
          <w:b/>
          <w:bCs/>
        </w:rPr>
      </w:pPr>
      <w:r w:rsidRPr="00FA0E3A">
        <w:rPr>
          <w:b/>
          <w:bCs/>
        </w:rPr>
        <w:t>Exemple</w:t>
      </w:r>
    </w:p>
    <w:p w14:paraId="178DA5E8" w14:textId="77777777" w:rsidR="00FA0E3A" w:rsidRPr="00FA0E3A" w:rsidRDefault="00FA0E3A" w:rsidP="00275A92">
      <w:pPr>
        <w:spacing w:after="0" w:line="240" w:lineRule="auto"/>
      </w:pPr>
      <w:r w:rsidRPr="00FA0E3A">
        <w:t>Un usage commercial peut contribuer à déterminer la manière dont certaines obligations professionnelles sont normalement exécutées.</w:t>
      </w:r>
    </w:p>
    <w:p w14:paraId="30228036" w14:textId="77777777" w:rsidR="00FA0E3A" w:rsidRPr="00FA0E3A" w:rsidRDefault="00FA0E3A" w:rsidP="00275A92">
      <w:pPr>
        <w:spacing w:after="0" w:line="240" w:lineRule="auto"/>
        <w:rPr>
          <w:b/>
          <w:bCs/>
        </w:rPr>
      </w:pPr>
      <w:r w:rsidRPr="00FA0E3A">
        <w:rPr>
          <w:b/>
          <w:bCs/>
        </w:rPr>
        <w:t>Contre-exemple</w:t>
      </w:r>
    </w:p>
    <w:p w14:paraId="369D63AC" w14:textId="77777777" w:rsidR="00FA0E3A" w:rsidRPr="00FA0E3A" w:rsidRDefault="00FA0E3A" w:rsidP="00275A92">
      <w:pPr>
        <w:spacing w:after="0" w:line="240" w:lineRule="auto"/>
      </w:pPr>
      <w:r w:rsidRPr="00FA0E3A">
        <w:t>Une pratique fréquente dans une profession ne peut légitimer un comportement interdit par une règle impérative.</w:t>
      </w:r>
    </w:p>
    <w:p w14:paraId="4F057EF9" w14:textId="77777777" w:rsidR="00FA0E3A" w:rsidRPr="00FA0E3A" w:rsidRDefault="00000000" w:rsidP="00275A92">
      <w:pPr>
        <w:spacing w:after="0" w:line="240" w:lineRule="auto"/>
      </w:pPr>
      <w:r>
        <w:pict w14:anchorId="29DB5D74">
          <v:rect id="_x0000_i1037" style="width:0;height:1.5pt" o:hralign="center" o:hrstd="t" o:hr="t" fillcolor="#a0a0a0" stroked="f"/>
        </w:pict>
      </w:r>
    </w:p>
    <w:p w14:paraId="20E4E6DB" w14:textId="77777777" w:rsidR="00FA0E3A" w:rsidRPr="00FA0E3A" w:rsidRDefault="00FA0E3A" w:rsidP="00275A92">
      <w:pPr>
        <w:pStyle w:val="Titre1"/>
      </w:pPr>
      <w:r w:rsidRPr="00FA0E3A">
        <w:t>11. La hiérarchie des normes</w:t>
      </w:r>
    </w:p>
    <w:p w14:paraId="08793594" w14:textId="77777777" w:rsidR="00FA0E3A" w:rsidRPr="00FA0E3A" w:rsidRDefault="00FA0E3A" w:rsidP="00275A92">
      <w:pPr>
        <w:spacing w:after="0" w:line="240" w:lineRule="auto"/>
      </w:pPr>
      <w:r w:rsidRPr="00FA0E3A">
        <w:t>La hiérarchie permet de résoudre un conflit entre des normes de valeurs différentes.</w:t>
      </w:r>
    </w:p>
    <w:p w14:paraId="2D093653" w14:textId="77777777" w:rsidR="00FA0E3A" w:rsidRPr="00FA0E3A" w:rsidRDefault="00FA0E3A" w:rsidP="00275A92">
      <w:pPr>
        <w:spacing w:after="0" w:line="240" w:lineRule="auto"/>
        <w:rPr>
          <w:b/>
          <w:bCs/>
        </w:rPr>
      </w:pPr>
      <w:r w:rsidRPr="00FA0E3A">
        <w:rPr>
          <w:b/>
          <w:bCs/>
        </w:rPr>
        <w:t>Représentation simplifiée</w:t>
      </w:r>
    </w:p>
    <w:tbl>
      <w:tblPr>
        <w:tblStyle w:val="Grilledutableau"/>
        <w:tblW w:w="0" w:type="auto"/>
        <w:tblLook w:val="04A0" w:firstRow="1" w:lastRow="0" w:firstColumn="1" w:lastColumn="0" w:noHBand="0" w:noVBand="1"/>
      </w:tblPr>
      <w:tblGrid>
        <w:gridCol w:w="797"/>
        <w:gridCol w:w="9659"/>
      </w:tblGrid>
      <w:tr w:rsidR="00FA0E3A" w:rsidRPr="00275A92" w14:paraId="6F194D26" w14:textId="77777777" w:rsidTr="00275A92">
        <w:trPr>
          <w:tblHeader/>
        </w:trPr>
        <w:tc>
          <w:tcPr>
            <w:tcW w:w="0" w:type="auto"/>
            <w:hideMark/>
          </w:tcPr>
          <w:p w14:paraId="5575D389"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Niveau</w:t>
            </w:r>
          </w:p>
        </w:tc>
        <w:tc>
          <w:tcPr>
            <w:tcW w:w="0" w:type="auto"/>
            <w:hideMark/>
          </w:tcPr>
          <w:p w14:paraId="24411041"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Principales normes</w:t>
            </w:r>
          </w:p>
        </w:tc>
      </w:tr>
      <w:tr w:rsidR="00FA0E3A" w:rsidRPr="00275A92" w14:paraId="097BC992" w14:textId="77777777" w:rsidTr="00275A92">
        <w:tc>
          <w:tcPr>
            <w:tcW w:w="0" w:type="auto"/>
            <w:hideMark/>
          </w:tcPr>
          <w:p w14:paraId="38B1AC35" w14:textId="77777777" w:rsidR="00FA0E3A" w:rsidRPr="00275A92" w:rsidRDefault="00FA0E3A" w:rsidP="00275A92">
            <w:pPr>
              <w:jc w:val="left"/>
              <w:rPr>
                <w:rFonts w:ascii="Calibri" w:hAnsi="Calibri" w:cs="Calibri"/>
                <w:sz w:val="20"/>
              </w:rPr>
            </w:pPr>
            <w:r w:rsidRPr="00275A92">
              <w:rPr>
                <w:rFonts w:ascii="Calibri" w:hAnsi="Calibri" w:cs="Calibri"/>
                <w:b/>
                <w:bCs/>
                <w:sz w:val="20"/>
              </w:rPr>
              <w:t>1</w:t>
            </w:r>
          </w:p>
        </w:tc>
        <w:tc>
          <w:tcPr>
            <w:tcW w:w="0" w:type="auto"/>
            <w:hideMark/>
          </w:tcPr>
          <w:p w14:paraId="13283B68" w14:textId="77777777" w:rsidR="00FA0E3A" w:rsidRPr="00275A92" w:rsidRDefault="00FA0E3A" w:rsidP="00275A92">
            <w:pPr>
              <w:jc w:val="left"/>
              <w:rPr>
                <w:rFonts w:ascii="Calibri" w:hAnsi="Calibri" w:cs="Calibri"/>
                <w:sz w:val="20"/>
              </w:rPr>
            </w:pPr>
            <w:r w:rsidRPr="00275A92">
              <w:rPr>
                <w:rFonts w:ascii="Calibri" w:hAnsi="Calibri" w:cs="Calibri"/>
                <w:sz w:val="20"/>
              </w:rPr>
              <w:t>Bloc de constitutionnalité</w:t>
            </w:r>
          </w:p>
        </w:tc>
      </w:tr>
      <w:tr w:rsidR="00FA0E3A" w:rsidRPr="00275A92" w14:paraId="1DCDC3BB" w14:textId="77777777" w:rsidTr="00275A92">
        <w:tc>
          <w:tcPr>
            <w:tcW w:w="0" w:type="auto"/>
            <w:hideMark/>
          </w:tcPr>
          <w:p w14:paraId="6CF08FC6" w14:textId="77777777" w:rsidR="00FA0E3A" w:rsidRPr="00275A92" w:rsidRDefault="00FA0E3A" w:rsidP="00275A92">
            <w:pPr>
              <w:jc w:val="left"/>
              <w:rPr>
                <w:rFonts w:ascii="Calibri" w:hAnsi="Calibri" w:cs="Calibri"/>
                <w:sz w:val="20"/>
              </w:rPr>
            </w:pPr>
            <w:r w:rsidRPr="00275A92">
              <w:rPr>
                <w:rFonts w:ascii="Calibri" w:hAnsi="Calibri" w:cs="Calibri"/>
                <w:b/>
                <w:bCs/>
                <w:sz w:val="20"/>
              </w:rPr>
              <w:t>2</w:t>
            </w:r>
          </w:p>
        </w:tc>
        <w:tc>
          <w:tcPr>
            <w:tcW w:w="0" w:type="auto"/>
            <w:hideMark/>
          </w:tcPr>
          <w:p w14:paraId="63C87F6F" w14:textId="77777777" w:rsidR="00FA0E3A" w:rsidRPr="00275A92" w:rsidRDefault="00FA0E3A" w:rsidP="00275A92">
            <w:pPr>
              <w:jc w:val="left"/>
              <w:rPr>
                <w:rFonts w:ascii="Calibri" w:hAnsi="Calibri" w:cs="Calibri"/>
                <w:sz w:val="20"/>
              </w:rPr>
            </w:pPr>
            <w:r w:rsidRPr="00275A92">
              <w:rPr>
                <w:rFonts w:ascii="Calibri" w:hAnsi="Calibri" w:cs="Calibri"/>
                <w:sz w:val="20"/>
              </w:rPr>
              <w:t>Droit international applicable et droit de l'Union européenne, sous réserve de leur articulation particulière avec la Constitution</w:t>
            </w:r>
          </w:p>
        </w:tc>
      </w:tr>
      <w:tr w:rsidR="00FA0E3A" w:rsidRPr="00275A92" w14:paraId="00A10A73" w14:textId="77777777" w:rsidTr="00275A92">
        <w:tc>
          <w:tcPr>
            <w:tcW w:w="0" w:type="auto"/>
            <w:hideMark/>
          </w:tcPr>
          <w:p w14:paraId="79DAA0D1" w14:textId="77777777" w:rsidR="00FA0E3A" w:rsidRPr="00275A92" w:rsidRDefault="00FA0E3A" w:rsidP="00275A92">
            <w:pPr>
              <w:jc w:val="left"/>
              <w:rPr>
                <w:rFonts w:ascii="Calibri" w:hAnsi="Calibri" w:cs="Calibri"/>
                <w:sz w:val="20"/>
              </w:rPr>
            </w:pPr>
            <w:r w:rsidRPr="00275A92">
              <w:rPr>
                <w:rFonts w:ascii="Calibri" w:hAnsi="Calibri" w:cs="Calibri"/>
                <w:b/>
                <w:bCs/>
                <w:sz w:val="20"/>
              </w:rPr>
              <w:t>3</w:t>
            </w:r>
          </w:p>
        </w:tc>
        <w:tc>
          <w:tcPr>
            <w:tcW w:w="0" w:type="auto"/>
            <w:hideMark/>
          </w:tcPr>
          <w:p w14:paraId="5358617E" w14:textId="77777777" w:rsidR="00FA0E3A" w:rsidRPr="00275A92" w:rsidRDefault="00FA0E3A" w:rsidP="00275A92">
            <w:pPr>
              <w:jc w:val="left"/>
              <w:rPr>
                <w:rFonts w:ascii="Calibri" w:hAnsi="Calibri" w:cs="Calibri"/>
                <w:sz w:val="20"/>
              </w:rPr>
            </w:pPr>
            <w:r w:rsidRPr="00275A92">
              <w:rPr>
                <w:rFonts w:ascii="Calibri" w:hAnsi="Calibri" w:cs="Calibri"/>
                <w:sz w:val="20"/>
              </w:rPr>
              <w:t>Lois organiques dans leur domaine</w:t>
            </w:r>
          </w:p>
        </w:tc>
      </w:tr>
      <w:tr w:rsidR="00FA0E3A" w:rsidRPr="00275A92" w14:paraId="71E65A63" w14:textId="77777777" w:rsidTr="00275A92">
        <w:tc>
          <w:tcPr>
            <w:tcW w:w="0" w:type="auto"/>
            <w:hideMark/>
          </w:tcPr>
          <w:p w14:paraId="3D1A91EE" w14:textId="77777777" w:rsidR="00FA0E3A" w:rsidRPr="00275A92" w:rsidRDefault="00FA0E3A" w:rsidP="00275A92">
            <w:pPr>
              <w:jc w:val="left"/>
              <w:rPr>
                <w:rFonts w:ascii="Calibri" w:hAnsi="Calibri" w:cs="Calibri"/>
                <w:sz w:val="20"/>
              </w:rPr>
            </w:pPr>
            <w:r w:rsidRPr="00275A92">
              <w:rPr>
                <w:rFonts w:ascii="Calibri" w:hAnsi="Calibri" w:cs="Calibri"/>
                <w:b/>
                <w:bCs/>
                <w:sz w:val="20"/>
              </w:rPr>
              <w:t>4</w:t>
            </w:r>
          </w:p>
        </w:tc>
        <w:tc>
          <w:tcPr>
            <w:tcW w:w="0" w:type="auto"/>
            <w:hideMark/>
          </w:tcPr>
          <w:p w14:paraId="3F5D1B1F" w14:textId="77777777" w:rsidR="00FA0E3A" w:rsidRPr="00275A92" w:rsidRDefault="00FA0E3A" w:rsidP="00275A92">
            <w:pPr>
              <w:jc w:val="left"/>
              <w:rPr>
                <w:rFonts w:ascii="Calibri" w:hAnsi="Calibri" w:cs="Calibri"/>
                <w:sz w:val="20"/>
              </w:rPr>
            </w:pPr>
            <w:r w:rsidRPr="00275A92">
              <w:rPr>
                <w:rFonts w:ascii="Calibri" w:hAnsi="Calibri" w:cs="Calibri"/>
                <w:sz w:val="20"/>
              </w:rPr>
              <w:t>Lois ordinaires et normes de valeur législative</w:t>
            </w:r>
          </w:p>
        </w:tc>
      </w:tr>
      <w:tr w:rsidR="00FA0E3A" w:rsidRPr="00275A92" w14:paraId="3108331B" w14:textId="77777777" w:rsidTr="00275A92">
        <w:tc>
          <w:tcPr>
            <w:tcW w:w="0" w:type="auto"/>
            <w:hideMark/>
          </w:tcPr>
          <w:p w14:paraId="2D2677E9" w14:textId="77777777" w:rsidR="00FA0E3A" w:rsidRPr="00275A92" w:rsidRDefault="00FA0E3A" w:rsidP="00275A92">
            <w:pPr>
              <w:jc w:val="left"/>
              <w:rPr>
                <w:rFonts w:ascii="Calibri" w:hAnsi="Calibri" w:cs="Calibri"/>
                <w:sz w:val="20"/>
              </w:rPr>
            </w:pPr>
            <w:r w:rsidRPr="00275A92">
              <w:rPr>
                <w:rFonts w:ascii="Calibri" w:hAnsi="Calibri" w:cs="Calibri"/>
                <w:b/>
                <w:bCs/>
                <w:sz w:val="20"/>
              </w:rPr>
              <w:t>5</w:t>
            </w:r>
          </w:p>
        </w:tc>
        <w:tc>
          <w:tcPr>
            <w:tcW w:w="0" w:type="auto"/>
            <w:hideMark/>
          </w:tcPr>
          <w:p w14:paraId="37D2E782" w14:textId="06BF567C" w:rsidR="00FA0E3A" w:rsidRPr="00275A92" w:rsidRDefault="00FA0E3A" w:rsidP="00275A92">
            <w:pPr>
              <w:jc w:val="left"/>
              <w:rPr>
                <w:rFonts w:ascii="Calibri" w:hAnsi="Calibri" w:cs="Calibri"/>
                <w:sz w:val="20"/>
              </w:rPr>
            </w:pPr>
            <w:r w:rsidRPr="00275A92">
              <w:rPr>
                <w:rFonts w:ascii="Calibri" w:hAnsi="Calibri" w:cs="Calibri"/>
                <w:sz w:val="20"/>
              </w:rPr>
              <w:t>Règlements</w:t>
            </w:r>
            <w:r w:rsidR="00275A92" w:rsidRPr="00275A92">
              <w:rPr>
                <w:rFonts w:ascii="Calibri" w:hAnsi="Calibri" w:cs="Calibri"/>
                <w:sz w:val="20"/>
              </w:rPr>
              <w:t> :</w:t>
            </w:r>
            <w:r w:rsidRPr="00275A92">
              <w:rPr>
                <w:rFonts w:ascii="Calibri" w:hAnsi="Calibri" w:cs="Calibri"/>
                <w:sz w:val="20"/>
              </w:rPr>
              <w:t xml:space="preserve"> décrets, arrêtés</w:t>
            </w:r>
          </w:p>
        </w:tc>
      </w:tr>
      <w:tr w:rsidR="00FA0E3A" w:rsidRPr="00275A92" w14:paraId="1CD490DB" w14:textId="77777777" w:rsidTr="00275A92">
        <w:tc>
          <w:tcPr>
            <w:tcW w:w="0" w:type="auto"/>
            <w:hideMark/>
          </w:tcPr>
          <w:p w14:paraId="229D5439" w14:textId="77777777" w:rsidR="00FA0E3A" w:rsidRPr="00275A92" w:rsidRDefault="00FA0E3A" w:rsidP="00275A92">
            <w:pPr>
              <w:jc w:val="left"/>
              <w:rPr>
                <w:rFonts w:ascii="Calibri" w:hAnsi="Calibri" w:cs="Calibri"/>
                <w:sz w:val="20"/>
              </w:rPr>
            </w:pPr>
            <w:r w:rsidRPr="00275A92">
              <w:rPr>
                <w:rFonts w:ascii="Calibri" w:hAnsi="Calibri" w:cs="Calibri"/>
                <w:b/>
                <w:bCs/>
                <w:sz w:val="20"/>
              </w:rPr>
              <w:t>6</w:t>
            </w:r>
          </w:p>
        </w:tc>
        <w:tc>
          <w:tcPr>
            <w:tcW w:w="0" w:type="auto"/>
            <w:hideMark/>
          </w:tcPr>
          <w:p w14:paraId="08B4D824" w14:textId="77777777" w:rsidR="00FA0E3A" w:rsidRPr="00275A92" w:rsidRDefault="00FA0E3A" w:rsidP="00275A92">
            <w:pPr>
              <w:jc w:val="left"/>
              <w:rPr>
                <w:rFonts w:ascii="Calibri" w:hAnsi="Calibri" w:cs="Calibri"/>
                <w:sz w:val="20"/>
              </w:rPr>
            </w:pPr>
            <w:r w:rsidRPr="00275A92">
              <w:rPr>
                <w:rFonts w:ascii="Calibri" w:hAnsi="Calibri" w:cs="Calibri"/>
                <w:sz w:val="20"/>
              </w:rPr>
              <w:t>Actes individuels et actes privés, qui doivent respecter les normes impératives qui leur sont applicables</w:t>
            </w:r>
          </w:p>
        </w:tc>
      </w:tr>
    </w:tbl>
    <w:p w14:paraId="21C5E8BE" w14:textId="4EB6B33C" w:rsidR="00FA0E3A" w:rsidRPr="00FA0E3A" w:rsidRDefault="00FA0E3A" w:rsidP="00275A92">
      <w:pPr>
        <w:spacing w:after="0" w:line="240" w:lineRule="auto"/>
      </w:pPr>
      <w:r w:rsidRPr="00FA0E3A">
        <w:t xml:space="preserve">Cette représentation est utile, mais elle doit rester </w:t>
      </w:r>
      <w:r w:rsidRPr="00FA0E3A">
        <w:rPr>
          <w:b/>
          <w:bCs/>
        </w:rPr>
        <w:t>raisonnée</w:t>
      </w:r>
      <w:r w:rsidRPr="00FA0E3A">
        <w:t>. Toutes les sources ne peuvent pas être rangées mécaniquement dans une pyramide unique</w:t>
      </w:r>
      <w:r w:rsidR="00275A92">
        <w:t> :</w:t>
      </w:r>
      <w:r w:rsidRPr="00FA0E3A">
        <w:t xml:space="preserve"> le droit de l'Union dispose de mécanismes propres de primauté</w:t>
      </w:r>
      <w:r w:rsidR="00275A92">
        <w:t> ;</w:t>
      </w:r>
      <w:r w:rsidRPr="00FA0E3A">
        <w:t xml:space="preserve"> la jurisprudence et la doctrine n'occupent pas simplement un </w:t>
      </w:r>
      <w:r w:rsidR="00275A92">
        <w:t>« </w:t>
      </w:r>
      <w:r w:rsidRPr="00FA0E3A">
        <w:t>étage</w:t>
      </w:r>
      <w:r w:rsidR="00275A92">
        <w:t> »</w:t>
      </w:r>
      <w:r w:rsidRPr="00FA0E3A">
        <w:t xml:space="preserve"> de la pyramide</w:t>
      </w:r>
      <w:r w:rsidR="00275A92">
        <w:t> ;</w:t>
      </w:r>
      <w:r w:rsidRPr="00FA0E3A">
        <w:t xml:space="preserve"> les règles conventionnelles n'ont pas la même articulation selon les branches du droit.</w:t>
      </w:r>
    </w:p>
    <w:p w14:paraId="407E89EE" w14:textId="77777777" w:rsidR="00FA0E3A" w:rsidRPr="00FA0E3A" w:rsidRDefault="00000000" w:rsidP="00275A92">
      <w:pPr>
        <w:spacing w:after="0" w:line="240" w:lineRule="auto"/>
      </w:pPr>
      <w:r>
        <w:pict w14:anchorId="5F9CFF22">
          <v:rect id="_x0000_i1038" style="width:0;height:1.5pt" o:hralign="center" o:hrstd="t" o:hr="t" fillcolor="#a0a0a0" stroked="f"/>
        </w:pict>
      </w:r>
    </w:p>
    <w:p w14:paraId="517E3F2F" w14:textId="77777777" w:rsidR="00FA0E3A" w:rsidRPr="00FA0E3A" w:rsidRDefault="00FA0E3A" w:rsidP="00275A92">
      <w:pPr>
        <w:pStyle w:val="Titre1"/>
      </w:pPr>
      <w:r w:rsidRPr="00FA0E3A">
        <w:t>12. Résoudre un conflit de normes</w:t>
      </w:r>
    </w:p>
    <w:p w14:paraId="734AD21A" w14:textId="77777777" w:rsidR="00FA0E3A" w:rsidRPr="00FA0E3A" w:rsidRDefault="00FA0E3A" w:rsidP="00275A92">
      <w:pPr>
        <w:spacing w:after="0" w:line="240" w:lineRule="auto"/>
      </w:pPr>
      <w:r w:rsidRPr="00FA0E3A">
        <w:t>Lorsqu'une situation semble relever de plusieurs normes contradictoires, la démarche doit être structurée.</w:t>
      </w:r>
    </w:p>
    <w:p w14:paraId="186B1C18" w14:textId="1533E2BE" w:rsidR="00FA0E3A" w:rsidRPr="00FA0E3A" w:rsidRDefault="00FA0E3A" w:rsidP="00275A92">
      <w:pPr>
        <w:spacing w:after="0" w:line="240" w:lineRule="auto"/>
        <w:rPr>
          <w:b/>
          <w:bCs/>
        </w:rPr>
      </w:pPr>
      <w:r w:rsidRPr="00FA0E3A">
        <w:rPr>
          <w:b/>
          <w:bCs/>
        </w:rPr>
        <w:t xml:space="preserve">Étape 1 </w:t>
      </w:r>
      <w:r>
        <w:rPr>
          <w:b/>
          <w:bCs/>
        </w:rPr>
        <w:t>-</w:t>
      </w:r>
      <w:r w:rsidRPr="00FA0E3A">
        <w:rPr>
          <w:b/>
          <w:bCs/>
        </w:rPr>
        <w:t xml:space="preserve"> Identifier les normes en présence</w:t>
      </w:r>
    </w:p>
    <w:p w14:paraId="602186E1" w14:textId="1008EAC8" w:rsidR="00FA0E3A" w:rsidRPr="00FA0E3A" w:rsidRDefault="00FA0E3A" w:rsidP="00275A92">
      <w:pPr>
        <w:spacing w:after="0" w:line="240" w:lineRule="auto"/>
      </w:pPr>
      <w:r w:rsidRPr="00FA0E3A">
        <w:t>Il faut déterminer précisément</w:t>
      </w:r>
      <w:r w:rsidR="00275A92">
        <w:t> :</w:t>
      </w:r>
    </w:p>
    <w:p w14:paraId="01404E7E" w14:textId="6FCA0DAB" w:rsidR="00FA0E3A" w:rsidRPr="00FA0E3A" w:rsidRDefault="00FA0E3A" w:rsidP="00275A92">
      <w:pPr>
        <w:numPr>
          <w:ilvl w:val="0"/>
          <w:numId w:val="25"/>
        </w:numPr>
        <w:spacing w:after="0" w:line="240" w:lineRule="auto"/>
      </w:pPr>
      <w:r w:rsidRPr="00FA0E3A">
        <w:t>leur nature</w:t>
      </w:r>
      <w:r w:rsidR="00275A92">
        <w:t> ;</w:t>
      </w:r>
    </w:p>
    <w:p w14:paraId="1B0FE8B4" w14:textId="56C5A66B" w:rsidR="00FA0E3A" w:rsidRPr="00FA0E3A" w:rsidRDefault="00FA0E3A" w:rsidP="00275A92">
      <w:pPr>
        <w:numPr>
          <w:ilvl w:val="0"/>
          <w:numId w:val="25"/>
        </w:numPr>
        <w:spacing w:after="0" w:line="240" w:lineRule="auto"/>
      </w:pPr>
      <w:r w:rsidRPr="00FA0E3A">
        <w:t>leur auteur</w:t>
      </w:r>
      <w:r w:rsidR="00275A92">
        <w:t> ;</w:t>
      </w:r>
    </w:p>
    <w:p w14:paraId="4C5F0C52" w14:textId="2548A3C8" w:rsidR="00FA0E3A" w:rsidRPr="00FA0E3A" w:rsidRDefault="00FA0E3A" w:rsidP="00275A92">
      <w:pPr>
        <w:numPr>
          <w:ilvl w:val="0"/>
          <w:numId w:val="25"/>
        </w:numPr>
        <w:spacing w:after="0" w:line="240" w:lineRule="auto"/>
      </w:pPr>
      <w:r w:rsidRPr="00FA0E3A">
        <w:t>leur date</w:t>
      </w:r>
      <w:r w:rsidR="00275A92">
        <w:t> ;</w:t>
      </w:r>
    </w:p>
    <w:p w14:paraId="75687D57" w14:textId="5644F54F" w:rsidR="00FA0E3A" w:rsidRPr="00FA0E3A" w:rsidRDefault="00FA0E3A" w:rsidP="00275A92">
      <w:pPr>
        <w:numPr>
          <w:ilvl w:val="0"/>
          <w:numId w:val="25"/>
        </w:numPr>
        <w:spacing w:after="0" w:line="240" w:lineRule="auto"/>
      </w:pPr>
      <w:r w:rsidRPr="00FA0E3A">
        <w:t>leur champ d'application</w:t>
      </w:r>
      <w:r w:rsidR="00275A92">
        <w:t> ;</w:t>
      </w:r>
    </w:p>
    <w:p w14:paraId="449D6924" w14:textId="77777777" w:rsidR="00FA0E3A" w:rsidRPr="00FA0E3A" w:rsidRDefault="00FA0E3A" w:rsidP="00275A92">
      <w:pPr>
        <w:numPr>
          <w:ilvl w:val="0"/>
          <w:numId w:val="25"/>
        </w:numPr>
        <w:spacing w:after="0" w:line="240" w:lineRule="auto"/>
      </w:pPr>
      <w:r w:rsidRPr="00FA0E3A">
        <w:t>leur niveau dans la hiérarchie.</w:t>
      </w:r>
    </w:p>
    <w:p w14:paraId="65D771B4" w14:textId="29A3321C" w:rsidR="00FA0E3A" w:rsidRPr="00FA0E3A" w:rsidRDefault="00FA0E3A" w:rsidP="00275A92">
      <w:pPr>
        <w:spacing w:after="0" w:line="240" w:lineRule="auto"/>
        <w:rPr>
          <w:b/>
          <w:bCs/>
        </w:rPr>
      </w:pPr>
      <w:r w:rsidRPr="00FA0E3A">
        <w:rPr>
          <w:b/>
          <w:bCs/>
        </w:rPr>
        <w:t xml:space="preserve">Étape 2 </w:t>
      </w:r>
      <w:r>
        <w:rPr>
          <w:b/>
          <w:bCs/>
        </w:rPr>
        <w:t>-</w:t>
      </w:r>
      <w:r w:rsidRPr="00FA0E3A">
        <w:rPr>
          <w:b/>
          <w:bCs/>
        </w:rPr>
        <w:t xml:space="preserve"> Vérifier que les deux normes sont effectivement applicables</w:t>
      </w:r>
    </w:p>
    <w:p w14:paraId="1531E840" w14:textId="77777777" w:rsidR="00FA0E3A" w:rsidRPr="00FA0E3A" w:rsidRDefault="00FA0E3A" w:rsidP="00275A92">
      <w:pPr>
        <w:spacing w:after="0" w:line="240" w:lineRule="auto"/>
      </w:pPr>
      <w:r w:rsidRPr="00FA0E3A">
        <w:t>Deux textes apparemment contradictoires ne sont pas nécessairement en conflit.</w:t>
      </w:r>
    </w:p>
    <w:p w14:paraId="36A79B45" w14:textId="138E00FD" w:rsidR="00FA0E3A" w:rsidRPr="00FA0E3A" w:rsidRDefault="00FA0E3A" w:rsidP="00275A92">
      <w:pPr>
        <w:spacing w:after="0" w:line="240" w:lineRule="auto"/>
      </w:pPr>
      <w:r w:rsidRPr="00FA0E3A">
        <w:t>Une règle peut être</w:t>
      </w:r>
      <w:r w:rsidR="00275A92">
        <w:t> :</w:t>
      </w:r>
    </w:p>
    <w:p w14:paraId="56FC6C7F" w14:textId="11271FCD" w:rsidR="00FA0E3A" w:rsidRPr="00FA0E3A" w:rsidRDefault="00FA0E3A" w:rsidP="00275A92">
      <w:pPr>
        <w:numPr>
          <w:ilvl w:val="0"/>
          <w:numId w:val="26"/>
        </w:numPr>
        <w:spacing w:after="0" w:line="240" w:lineRule="auto"/>
      </w:pPr>
      <w:r w:rsidRPr="00FA0E3A">
        <w:t>spéciale alors que l'autre est générale</w:t>
      </w:r>
      <w:r w:rsidR="00275A92">
        <w:t> ;</w:t>
      </w:r>
    </w:p>
    <w:p w14:paraId="2CDB3A73" w14:textId="69EE89DB" w:rsidR="00FA0E3A" w:rsidRPr="00FA0E3A" w:rsidRDefault="00FA0E3A" w:rsidP="00275A92">
      <w:pPr>
        <w:numPr>
          <w:ilvl w:val="0"/>
          <w:numId w:val="26"/>
        </w:numPr>
        <w:spacing w:after="0" w:line="240" w:lineRule="auto"/>
      </w:pPr>
      <w:r w:rsidRPr="00FA0E3A">
        <w:t>applicable uniquement à certaines personnes</w:t>
      </w:r>
      <w:r w:rsidR="00275A92">
        <w:t> ;</w:t>
      </w:r>
    </w:p>
    <w:p w14:paraId="715E2058" w14:textId="44779D34" w:rsidR="00FA0E3A" w:rsidRPr="00FA0E3A" w:rsidRDefault="00FA0E3A" w:rsidP="00275A92">
      <w:pPr>
        <w:numPr>
          <w:ilvl w:val="0"/>
          <w:numId w:val="26"/>
        </w:numPr>
        <w:spacing w:after="0" w:line="240" w:lineRule="auto"/>
      </w:pPr>
      <w:r w:rsidRPr="00FA0E3A">
        <w:t>applicable à un territoire particulier</w:t>
      </w:r>
      <w:r w:rsidR="00275A92">
        <w:t> ;</w:t>
      </w:r>
    </w:p>
    <w:p w14:paraId="430BD69D" w14:textId="77777777" w:rsidR="00FA0E3A" w:rsidRPr="00FA0E3A" w:rsidRDefault="00FA0E3A" w:rsidP="00275A92">
      <w:pPr>
        <w:numPr>
          <w:ilvl w:val="0"/>
          <w:numId w:val="26"/>
        </w:numPr>
        <w:spacing w:after="0" w:line="240" w:lineRule="auto"/>
      </w:pPr>
      <w:r w:rsidRPr="00FA0E3A">
        <w:lastRenderedPageBreak/>
        <w:t>entrée en vigueur à une date différente.</w:t>
      </w:r>
    </w:p>
    <w:p w14:paraId="38352E9C" w14:textId="7138AF1A" w:rsidR="00FA0E3A" w:rsidRPr="00FA0E3A" w:rsidRDefault="00FA0E3A" w:rsidP="00275A92">
      <w:pPr>
        <w:spacing w:after="0" w:line="240" w:lineRule="auto"/>
        <w:rPr>
          <w:b/>
          <w:bCs/>
        </w:rPr>
      </w:pPr>
      <w:r w:rsidRPr="00FA0E3A">
        <w:rPr>
          <w:b/>
          <w:bCs/>
        </w:rPr>
        <w:t xml:space="preserve">Étape 3 </w:t>
      </w:r>
      <w:r>
        <w:rPr>
          <w:b/>
          <w:bCs/>
        </w:rPr>
        <w:t>-</w:t>
      </w:r>
      <w:r w:rsidRPr="00FA0E3A">
        <w:rPr>
          <w:b/>
          <w:bCs/>
        </w:rPr>
        <w:t xml:space="preserve"> Rechercher leur niveau hiérarchique</w:t>
      </w:r>
    </w:p>
    <w:p w14:paraId="6B49EDE3" w14:textId="77777777" w:rsidR="00FA0E3A" w:rsidRPr="00FA0E3A" w:rsidRDefault="00FA0E3A" w:rsidP="00275A92">
      <w:pPr>
        <w:spacing w:after="0" w:line="240" w:lineRule="auto"/>
      </w:pPr>
      <w:r w:rsidRPr="00FA0E3A">
        <w:t>Lorsqu'une norme inférieure est contraire à une norme supérieure, la norme supérieure doit en principe prévaloir.</w:t>
      </w:r>
    </w:p>
    <w:p w14:paraId="0E3807CB" w14:textId="3EF8ECB6" w:rsidR="00FA0E3A" w:rsidRPr="00FA0E3A" w:rsidRDefault="00FA0E3A" w:rsidP="00275A92">
      <w:pPr>
        <w:spacing w:after="0" w:line="240" w:lineRule="auto"/>
        <w:rPr>
          <w:b/>
          <w:bCs/>
        </w:rPr>
      </w:pPr>
      <w:r w:rsidRPr="00FA0E3A">
        <w:rPr>
          <w:b/>
          <w:bCs/>
        </w:rPr>
        <w:t xml:space="preserve">Étape 4 </w:t>
      </w:r>
      <w:r>
        <w:rPr>
          <w:b/>
          <w:bCs/>
        </w:rPr>
        <w:t>-</w:t>
      </w:r>
      <w:r w:rsidRPr="00FA0E3A">
        <w:rPr>
          <w:b/>
          <w:bCs/>
        </w:rPr>
        <w:t xml:space="preserve"> Déterminer les conséquences du conflit</w:t>
      </w:r>
    </w:p>
    <w:p w14:paraId="168FA0A2" w14:textId="317B62EE" w:rsidR="00FA0E3A" w:rsidRPr="00FA0E3A" w:rsidRDefault="00FA0E3A" w:rsidP="00275A92">
      <w:pPr>
        <w:spacing w:after="0" w:line="240" w:lineRule="auto"/>
      </w:pPr>
      <w:r w:rsidRPr="00FA0E3A">
        <w:t>Les conséquences ne sont pas toujours identiques</w:t>
      </w:r>
      <w:r w:rsidR="00275A92">
        <w:t> :</w:t>
      </w:r>
    </w:p>
    <w:p w14:paraId="1F122EEF" w14:textId="36DC24B5" w:rsidR="00FA0E3A" w:rsidRPr="00FA0E3A" w:rsidRDefault="00FA0E3A" w:rsidP="00275A92">
      <w:pPr>
        <w:numPr>
          <w:ilvl w:val="0"/>
          <w:numId w:val="27"/>
        </w:numPr>
        <w:spacing w:after="0" w:line="240" w:lineRule="auto"/>
      </w:pPr>
      <w:r w:rsidRPr="00FA0E3A">
        <w:t xml:space="preserve">une disposition peut être </w:t>
      </w:r>
      <w:r w:rsidRPr="00FA0E3A">
        <w:rPr>
          <w:b/>
          <w:bCs/>
        </w:rPr>
        <w:t>abrogée</w:t>
      </w:r>
      <w:r w:rsidR="00275A92">
        <w:t> ;</w:t>
      </w:r>
    </w:p>
    <w:p w14:paraId="179F56A0" w14:textId="5DA68AE8" w:rsidR="00FA0E3A" w:rsidRPr="00FA0E3A" w:rsidRDefault="00FA0E3A" w:rsidP="00275A92">
      <w:pPr>
        <w:numPr>
          <w:ilvl w:val="0"/>
          <w:numId w:val="27"/>
        </w:numPr>
        <w:spacing w:after="0" w:line="240" w:lineRule="auto"/>
      </w:pPr>
      <w:r w:rsidRPr="00FA0E3A">
        <w:t xml:space="preserve">un acte peut être </w:t>
      </w:r>
      <w:r w:rsidRPr="00FA0E3A">
        <w:rPr>
          <w:b/>
          <w:bCs/>
        </w:rPr>
        <w:t>annulé</w:t>
      </w:r>
      <w:r w:rsidR="00275A92">
        <w:t> ;</w:t>
      </w:r>
    </w:p>
    <w:p w14:paraId="56CAFCC2" w14:textId="7F8A2A84" w:rsidR="00FA0E3A" w:rsidRPr="00FA0E3A" w:rsidRDefault="00FA0E3A" w:rsidP="00275A92">
      <w:pPr>
        <w:numPr>
          <w:ilvl w:val="0"/>
          <w:numId w:val="27"/>
        </w:numPr>
        <w:spacing w:after="0" w:line="240" w:lineRule="auto"/>
      </w:pPr>
      <w:r w:rsidRPr="00FA0E3A">
        <w:t xml:space="preserve">une règle peut être </w:t>
      </w:r>
      <w:r w:rsidRPr="00FA0E3A">
        <w:rPr>
          <w:b/>
          <w:bCs/>
        </w:rPr>
        <w:t>déclarée inconstitutionnelle</w:t>
      </w:r>
      <w:r w:rsidR="00275A92">
        <w:t> ;</w:t>
      </w:r>
    </w:p>
    <w:p w14:paraId="444F8700" w14:textId="77777777" w:rsidR="00FA0E3A" w:rsidRPr="00FA0E3A" w:rsidRDefault="00FA0E3A" w:rsidP="00275A92">
      <w:pPr>
        <w:numPr>
          <w:ilvl w:val="0"/>
          <w:numId w:val="27"/>
        </w:numPr>
        <w:spacing w:after="0" w:line="240" w:lineRule="auto"/>
      </w:pPr>
      <w:r w:rsidRPr="00FA0E3A">
        <w:t xml:space="preserve">une disposition nationale peut simplement être </w:t>
      </w:r>
      <w:r w:rsidRPr="00FA0E3A">
        <w:rPr>
          <w:b/>
          <w:bCs/>
        </w:rPr>
        <w:t>écartée dans le litige</w:t>
      </w:r>
      <w:r w:rsidRPr="00FA0E3A">
        <w:t xml:space="preserve"> parce qu'elle est contraire à une norme internationale ou européenne applicable.</w:t>
      </w:r>
    </w:p>
    <w:p w14:paraId="39FAF3C0" w14:textId="3C3FDC07" w:rsidR="00FA0E3A" w:rsidRPr="00FA0E3A" w:rsidRDefault="00FA0E3A" w:rsidP="00275A92">
      <w:pPr>
        <w:spacing w:after="0" w:line="240" w:lineRule="auto"/>
      </w:pPr>
      <w:r w:rsidRPr="00FA0E3A">
        <w:t>Cette dernière distinction est importante</w:t>
      </w:r>
      <w:r w:rsidR="00275A92">
        <w:t> :</w:t>
      </w:r>
      <w:r w:rsidRPr="00FA0E3A">
        <w:t xml:space="preserve"> </w:t>
      </w:r>
      <w:r w:rsidRPr="00FA0E3A">
        <w:rPr>
          <w:b/>
          <w:bCs/>
        </w:rPr>
        <w:t>écarter l'application d'une loi dans un litige ne signifie pas nécessairement l'abroger.</w:t>
      </w:r>
    </w:p>
    <w:p w14:paraId="6B65E40A" w14:textId="77777777" w:rsidR="00FA0E3A" w:rsidRPr="00FA0E3A" w:rsidRDefault="00000000" w:rsidP="00275A92">
      <w:pPr>
        <w:spacing w:after="0" w:line="240" w:lineRule="auto"/>
      </w:pPr>
      <w:r>
        <w:pict w14:anchorId="24F4ACF2">
          <v:rect id="_x0000_i1039" style="width:0;height:1.5pt" o:hralign="center" o:hrstd="t" o:hr="t" fillcolor="#a0a0a0" stroked="f"/>
        </w:pict>
      </w:r>
    </w:p>
    <w:p w14:paraId="3EEA44ED" w14:textId="77777777" w:rsidR="00FA0E3A" w:rsidRPr="00FA0E3A" w:rsidRDefault="00FA0E3A" w:rsidP="00275A92">
      <w:pPr>
        <w:pStyle w:val="Titre1"/>
      </w:pPr>
      <w:r w:rsidRPr="00FA0E3A">
        <w:t>13. Le contrôle de constitutionnalité</w:t>
      </w:r>
    </w:p>
    <w:p w14:paraId="3C630427" w14:textId="77777777" w:rsidR="00FA0E3A" w:rsidRPr="00FA0E3A" w:rsidRDefault="00FA0E3A" w:rsidP="00275A92">
      <w:pPr>
        <w:spacing w:after="0" w:line="240" w:lineRule="auto"/>
      </w:pPr>
      <w:r w:rsidRPr="00FA0E3A">
        <w:t xml:space="preserve">Le </w:t>
      </w:r>
      <w:r w:rsidRPr="00FA0E3A">
        <w:rPr>
          <w:b/>
          <w:bCs/>
        </w:rPr>
        <w:t>contrôle de constitutionnalité</w:t>
      </w:r>
      <w:r w:rsidRPr="00FA0E3A">
        <w:t xml:space="preserve"> consiste à vérifier qu'une disposition législative respecte les normes constitutionnelles.</w:t>
      </w:r>
    </w:p>
    <w:p w14:paraId="3DA30DA8" w14:textId="77777777" w:rsidR="00FA0E3A" w:rsidRPr="00FA0E3A" w:rsidRDefault="00FA0E3A" w:rsidP="00275A92">
      <w:pPr>
        <w:spacing w:after="0" w:line="240" w:lineRule="auto"/>
        <w:rPr>
          <w:b/>
          <w:bCs/>
        </w:rPr>
      </w:pPr>
      <w:r w:rsidRPr="00FA0E3A">
        <w:rPr>
          <w:b/>
          <w:bCs/>
        </w:rPr>
        <w:t>13.1 Le contrôle avant promulgation</w:t>
      </w:r>
    </w:p>
    <w:p w14:paraId="334FB66E" w14:textId="77777777" w:rsidR="00FA0E3A" w:rsidRPr="00FA0E3A" w:rsidRDefault="00FA0E3A" w:rsidP="00275A92">
      <w:pPr>
        <w:spacing w:after="0" w:line="240" w:lineRule="auto"/>
      </w:pPr>
      <w:r w:rsidRPr="00FA0E3A">
        <w:t>Avant sa promulgation, une loi peut être soumise au Conseil constitutionnel dans les conditions prévues par la Constitution.</w:t>
      </w:r>
    </w:p>
    <w:p w14:paraId="14166FFB" w14:textId="164C11BE" w:rsidR="00FA0E3A" w:rsidRPr="00FA0E3A" w:rsidRDefault="00FA0E3A" w:rsidP="00275A92">
      <w:pPr>
        <w:spacing w:after="0" w:line="240" w:lineRule="auto"/>
      </w:pPr>
      <w:r w:rsidRPr="00FA0E3A">
        <w:t>Pour les lois ordinaires, le Conseil constitutionnel peut notamment être saisi par</w:t>
      </w:r>
      <w:r w:rsidR="00275A92">
        <w:t> :</w:t>
      </w:r>
    </w:p>
    <w:p w14:paraId="3BD2B7BE" w14:textId="4C4B47BF" w:rsidR="00FA0E3A" w:rsidRPr="00FA0E3A" w:rsidRDefault="00FA0E3A" w:rsidP="00275A92">
      <w:pPr>
        <w:numPr>
          <w:ilvl w:val="0"/>
          <w:numId w:val="28"/>
        </w:numPr>
        <w:spacing w:after="0" w:line="240" w:lineRule="auto"/>
      </w:pPr>
      <w:r w:rsidRPr="00FA0E3A">
        <w:t>le Président de la République</w:t>
      </w:r>
      <w:r w:rsidR="00275A92">
        <w:t> ;</w:t>
      </w:r>
    </w:p>
    <w:p w14:paraId="1DDFB969" w14:textId="14A7F67D" w:rsidR="00FA0E3A" w:rsidRPr="00FA0E3A" w:rsidRDefault="00FA0E3A" w:rsidP="00275A92">
      <w:pPr>
        <w:numPr>
          <w:ilvl w:val="0"/>
          <w:numId w:val="28"/>
        </w:numPr>
        <w:spacing w:after="0" w:line="240" w:lineRule="auto"/>
      </w:pPr>
      <w:r w:rsidRPr="00FA0E3A">
        <w:t>le Premier ministre</w:t>
      </w:r>
      <w:r w:rsidR="00275A92">
        <w:t> ;</w:t>
      </w:r>
    </w:p>
    <w:p w14:paraId="2AD8AC44" w14:textId="611E8123" w:rsidR="00FA0E3A" w:rsidRPr="00FA0E3A" w:rsidRDefault="00FA0E3A" w:rsidP="00275A92">
      <w:pPr>
        <w:numPr>
          <w:ilvl w:val="0"/>
          <w:numId w:val="28"/>
        </w:numPr>
        <w:spacing w:after="0" w:line="240" w:lineRule="auto"/>
      </w:pPr>
      <w:r w:rsidRPr="00FA0E3A">
        <w:t>le président de l'Assemblée nationale</w:t>
      </w:r>
      <w:r w:rsidR="00275A92">
        <w:t> ;</w:t>
      </w:r>
    </w:p>
    <w:p w14:paraId="55556C3E" w14:textId="280A3C84" w:rsidR="00FA0E3A" w:rsidRPr="00FA0E3A" w:rsidRDefault="00FA0E3A" w:rsidP="00275A92">
      <w:pPr>
        <w:numPr>
          <w:ilvl w:val="0"/>
          <w:numId w:val="28"/>
        </w:numPr>
        <w:spacing w:after="0" w:line="240" w:lineRule="auto"/>
      </w:pPr>
      <w:r w:rsidRPr="00FA0E3A">
        <w:t>le président du Sénat</w:t>
      </w:r>
      <w:r w:rsidR="00275A92">
        <w:t> ;</w:t>
      </w:r>
    </w:p>
    <w:p w14:paraId="49266190" w14:textId="0C1F0603" w:rsidR="00FA0E3A" w:rsidRPr="00FA0E3A" w:rsidRDefault="00FA0E3A" w:rsidP="00275A92">
      <w:pPr>
        <w:numPr>
          <w:ilvl w:val="0"/>
          <w:numId w:val="28"/>
        </w:numPr>
        <w:spacing w:after="0" w:line="240" w:lineRule="auto"/>
      </w:pPr>
      <w:r w:rsidRPr="00FA0E3A">
        <w:t>soixante députés</w:t>
      </w:r>
      <w:r w:rsidR="00275A92">
        <w:t> ;</w:t>
      </w:r>
    </w:p>
    <w:p w14:paraId="60799F63" w14:textId="77777777" w:rsidR="00FA0E3A" w:rsidRPr="00FA0E3A" w:rsidRDefault="00FA0E3A" w:rsidP="00275A92">
      <w:pPr>
        <w:numPr>
          <w:ilvl w:val="0"/>
          <w:numId w:val="28"/>
        </w:numPr>
        <w:spacing w:after="0" w:line="240" w:lineRule="auto"/>
      </w:pPr>
      <w:r w:rsidRPr="00FA0E3A">
        <w:t>soixante sénateurs.</w:t>
      </w:r>
    </w:p>
    <w:p w14:paraId="34E47D25" w14:textId="77777777" w:rsidR="00FA0E3A" w:rsidRPr="00FA0E3A" w:rsidRDefault="00FA0E3A" w:rsidP="00275A92">
      <w:pPr>
        <w:spacing w:after="0" w:line="240" w:lineRule="auto"/>
      </w:pPr>
      <w:r w:rsidRPr="00FA0E3A">
        <w:t>Une disposition déclarée contraire à la Constitution ne peut pas être promulguée dans les conditions prévues par la Constitution.</w:t>
      </w:r>
    </w:p>
    <w:p w14:paraId="3CA1C8A9" w14:textId="70F43D60" w:rsidR="00FA0E3A" w:rsidRPr="00FA0E3A" w:rsidRDefault="00FA0E3A" w:rsidP="00275A92">
      <w:pPr>
        <w:spacing w:after="0" w:line="240" w:lineRule="auto"/>
        <w:rPr>
          <w:b/>
          <w:bCs/>
        </w:rPr>
      </w:pPr>
      <w:r w:rsidRPr="00FA0E3A">
        <w:rPr>
          <w:b/>
          <w:bCs/>
        </w:rPr>
        <w:t>13.2 Le contrôle après l'entrée en vigueur</w:t>
      </w:r>
      <w:r w:rsidR="00275A92">
        <w:rPr>
          <w:b/>
          <w:bCs/>
        </w:rPr>
        <w:t> :</w:t>
      </w:r>
      <w:r w:rsidRPr="00FA0E3A">
        <w:rPr>
          <w:b/>
          <w:bCs/>
        </w:rPr>
        <w:t xml:space="preserve"> la QPC</w:t>
      </w:r>
    </w:p>
    <w:p w14:paraId="259BDB88" w14:textId="77777777" w:rsidR="00FA0E3A" w:rsidRPr="00FA0E3A" w:rsidRDefault="00FA0E3A" w:rsidP="00275A92">
      <w:pPr>
        <w:spacing w:after="0" w:line="240" w:lineRule="auto"/>
      </w:pPr>
      <w:r w:rsidRPr="00FA0E3A">
        <w:t xml:space="preserve">Une </w:t>
      </w:r>
      <w:r w:rsidRPr="00FA0E3A">
        <w:rPr>
          <w:b/>
          <w:bCs/>
        </w:rPr>
        <w:t>question prioritaire de constitutionnalité (QPC)</w:t>
      </w:r>
      <w:r w:rsidRPr="00FA0E3A">
        <w:t xml:space="preserve"> permet, à l'occasion d'un procès, de soutenir qu'une disposition législative applicable au litige porte atteinte aux droits et libertés garantis par la Constitution.</w:t>
      </w:r>
    </w:p>
    <w:p w14:paraId="6741A59A" w14:textId="77777777" w:rsidR="00FA0E3A" w:rsidRPr="00FA0E3A" w:rsidRDefault="00FA0E3A" w:rsidP="00275A92">
      <w:pPr>
        <w:spacing w:after="0" w:line="240" w:lineRule="auto"/>
      </w:pPr>
      <w:r w:rsidRPr="00FA0E3A">
        <w:t>La question peut être transmise au Conseil constitutionnel après le mécanisme de filtrage prévu par les textes.</w:t>
      </w:r>
    </w:p>
    <w:p w14:paraId="5C7B03CC" w14:textId="77777777" w:rsidR="00FA0E3A" w:rsidRPr="00FA0E3A" w:rsidRDefault="00FA0E3A" w:rsidP="00275A92">
      <w:pPr>
        <w:spacing w:after="0" w:line="240" w:lineRule="auto"/>
        <w:rPr>
          <w:b/>
          <w:bCs/>
        </w:rPr>
      </w:pPr>
      <w:r w:rsidRPr="00FA0E3A">
        <w:rPr>
          <w:b/>
          <w:bCs/>
        </w:rPr>
        <w:t>Exemple</w:t>
      </w:r>
    </w:p>
    <w:p w14:paraId="764D96CD" w14:textId="040F603B" w:rsidR="00FA0E3A" w:rsidRPr="00FA0E3A" w:rsidRDefault="00FA0E3A" w:rsidP="00275A92">
      <w:pPr>
        <w:spacing w:after="0" w:line="240" w:lineRule="auto"/>
      </w:pPr>
      <w:r w:rsidRPr="00FA0E3A">
        <w:t>Une entreprise partie à un procès estime qu'une disposition législative applicable à son litige porte atteinte à une liberté constitutionnellement garantie. Elle ne demande pas directement au juge ordinaire d'annuler la loi</w:t>
      </w:r>
      <w:r w:rsidR="00275A92">
        <w:t> :</w:t>
      </w:r>
      <w:r w:rsidRPr="00FA0E3A">
        <w:t xml:space="preserve"> elle peut, lorsque les conditions sont réunies, soulever une QPC.</w:t>
      </w:r>
    </w:p>
    <w:p w14:paraId="199F33AE" w14:textId="77777777" w:rsidR="00FA0E3A" w:rsidRPr="00FA0E3A" w:rsidRDefault="00000000" w:rsidP="00275A92">
      <w:pPr>
        <w:spacing w:after="0" w:line="240" w:lineRule="auto"/>
      </w:pPr>
      <w:r>
        <w:pict w14:anchorId="599B817A">
          <v:rect id="_x0000_i1040" style="width:0;height:1.5pt" o:hralign="center" o:hrstd="t" o:hr="t" fillcolor="#a0a0a0" stroked="f"/>
        </w:pict>
      </w:r>
    </w:p>
    <w:p w14:paraId="0B8E61C5" w14:textId="77777777" w:rsidR="00FA0E3A" w:rsidRPr="00FA0E3A" w:rsidRDefault="00FA0E3A" w:rsidP="00275A92">
      <w:pPr>
        <w:pStyle w:val="Titre1"/>
      </w:pPr>
      <w:r w:rsidRPr="00FA0E3A">
        <w:t>14. Le contrôle de conventionnalité</w:t>
      </w:r>
    </w:p>
    <w:p w14:paraId="704987F3" w14:textId="77777777" w:rsidR="00FA0E3A" w:rsidRPr="00FA0E3A" w:rsidRDefault="00FA0E3A" w:rsidP="00275A92">
      <w:pPr>
        <w:spacing w:after="0" w:line="240" w:lineRule="auto"/>
      </w:pPr>
      <w:r w:rsidRPr="00FA0E3A">
        <w:t xml:space="preserve">Le </w:t>
      </w:r>
      <w:r w:rsidRPr="00FA0E3A">
        <w:rPr>
          <w:b/>
          <w:bCs/>
        </w:rPr>
        <w:t>contrôle de conventionnalité</w:t>
      </w:r>
      <w:r w:rsidRPr="00FA0E3A">
        <w:t xml:space="preserve"> consiste à vérifier la compatibilité d'une norme nationale avec un engagement international ou une norme européenne qui lui est supérieure.</w:t>
      </w:r>
    </w:p>
    <w:p w14:paraId="4FF156C2" w14:textId="77777777" w:rsidR="00FA0E3A" w:rsidRPr="00FA0E3A" w:rsidRDefault="00FA0E3A" w:rsidP="00275A92">
      <w:pPr>
        <w:spacing w:after="0" w:line="240" w:lineRule="auto"/>
      </w:pPr>
      <w:r w:rsidRPr="00FA0E3A">
        <w:t>Ce contrôle est exercé par les juridictions judiciaires et administratives.</w:t>
      </w:r>
    </w:p>
    <w:p w14:paraId="789A3673" w14:textId="4CC4F196" w:rsidR="00FA0E3A" w:rsidRPr="00FA0E3A" w:rsidRDefault="00FA0E3A" w:rsidP="00275A92">
      <w:pPr>
        <w:spacing w:after="0" w:line="240" w:lineRule="auto"/>
      </w:pPr>
      <w:r w:rsidRPr="00FA0E3A">
        <w:t>Deux décisions constituent des repères fondamentaux</w:t>
      </w:r>
      <w:r w:rsidR="00275A92">
        <w:t> :</w:t>
      </w:r>
    </w:p>
    <w:p w14:paraId="4F27E225" w14:textId="30ECABF1" w:rsidR="00FA0E3A" w:rsidRPr="00FA0E3A" w:rsidRDefault="00FA0E3A" w:rsidP="00275A92">
      <w:pPr>
        <w:numPr>
          <w:ilvl w:val="0"/>
          <w:numId w:val="29"/>
        </w:numPr>
        <w:spacing w:after="0" w:line="240" w:lineRule="auto"/>
      </w:pPr>
      <w:r w:rsidRPr="00FA0E3A">
        <w:rPr>
          <w:b/>
          <w:bCs/>
        </w:rPr>
        <w:t>Cour de cassation, chambre mixte, 24 mai 1975, Société des cafés Jacques Vabre, n° 73-13.556</w:t>
      </w:r>
      <w:r w:rsidR="00275A92">
        <w:t> :</w:t>
      </w:r>
      <w:r w:rsidRPr="00FA0E3A">
        <w:t xml:space="preserve"> la Cour de cassation admet qu'une norme internationale applicable puisse prévaloir sur une loi française incompatible, même postérieure.</w:t>
      </w:r>
    </w:p>
    <w:p w14:paraId="481B95C2" w14:textId="75AA19A6" w:rsidR="00FA0E3A" w:rsidRPr="00FA0E3A" w:rsidRDefault="00FA0E3A" w:rsidP="00275A92">
      <w:pPr>
        <w:numPr>
          <w:ilvl w:val="0"/>
          <w:numId w:val="29"/>
        </w:numPr>
        <w:spacing w:after="0" w:line="240" w:lineRule="auto"/>
      </w:pPr>
      <w:r w:rsidRPr="00FA0E3A">
        <w:rPr>
          <w:b/>
          <w:bCs/>
        </w:rPr>
        <w:t>Conseil d'État, Assemblée, 20 octobre 1989, Nicolo, n° 108243</w:t>
      </w:r>
      <w:r w:rsidR="00275A92">
        <w:t> :</w:t>
      </w:r>
      <w:r w:rsidRPr="00FA0E3A">
        <w:t xml:space="preserve"> le Conseil d'État accepte à son tour de contrôler la compatibilité d'une loi, même postérieure, avec un traité.</w:t>
      </w:r>
    </w:p>
    <w:p w14:paraId="654D1807" w14:textId="349E4B0E" w:rsidR="00FA0E3A" w:rsidRPr="00FA0E3A" w:rsidRDefault="00FA0E3A" w:rsidP="00275A92">
      <w:pPr>
        <w:spacing w:after="0" w:line="240" w:lineRule="auto"/>
        <w:rPr>
          <w:b/>
          <w:bCs/>
        </w:rPr>
      </w:pPr>
      <w:r w:rsidRPr="00FA0E3A">
        <w:rPr>
          <w:b/>
          <w:bCs/>
        </w:rPr>
        <w:t>Constitutionnalité et conventionnalité</w:t>
      </w:r>
      <w:r w:rsidR="00275A92">
        <w:rPr>
          <w:b/>
          <w:bCs/>
        </w:rPr>
        <w:t> :</w:t>
      </w:r>
      <w:r w:rsidRPr="00FA0E3A">
        <w:rPr>
          <w:b/>
          <w:bCs/>
        </w:rPr>
        <w:t xml:space="preserve"> ne pas confondre</w:t>
      </w:r>
    </w:p>
    <w:tbl>
      <w:tblPr>
        <w:tblStyle w:val="Grilledutableau"/>
        <w:tblW w:w="0" w:type="auto"/>
        <w:tblLook w:val="04A0" w:firstRow="1" w:lastRow="0" w:firstColumn="1" w:lastColumn="0" w:noHBand="0" w:noVBand="1"/>
      </w:tblPr>
      <w:tblGrid>
        <w:gridCol w:w="5235"/>
        <w:gridCol w:w="5221"/>
      </w:tblGrid>
      <w:tr w:rsidR="00FA0E3A" w:rsidRPr="00275A92" w14:paraId="2079932E" w14:textId="77777777" w:rsidTr="00275A92">
        <w:trPr>
          <w:tblHeader/>
        </w:trPr>
        <w:tc>
          <w:tcPr>
            <w:tcW w:w="0" w:type="auto"/>
            <w:hideMark/>
          </w:tcPr>
          <w:p w14:paraId="599FBB9A"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lastRenderedPageBreak/>
              <w:t>Contrôle de constitutionnalité</w:t>
            </w:r>
          </w:p>
        </w:tc>
        <w:tc>
          <w:tcPr>
            <w:tcW w:w="0" w:type="auto"/>
            <w:hideMark/>
          </w:tcPr>
          <w:p w14:paraId="5FECF4D6"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Contrôle de conventionnalité</w:t>
            </w:r>
          </w:p>
        </w:tc>
      </w:tr>
      <w:tr w:rsidR="00FA0E3A" w:rsidRPr="00275A92" w14:paraId="62D77B51" w14:textId="77777777" w:rsidTr="00275A92">
        <w:tc>
          <w:tcPr>
            <w:tcW w:w="0" w:type="auto"/>
            <w:hideMark/>
          </w:tcPr>
          <w:p w14:paraId="73101297" w14:textId="4A1843EF" w:rsidR="00FA0E3A" w:rsidRPr="00275A92" w:rsidRDefault="00FA0E3A" w:rsidP="00275A92">
            <w:pPr>
              <w:jc w:val="left"/>
              <w:rPr>
                <w:rFonts w:ascii="Calibri" w:hAnsi="Calibri" w:cs="Calibri"/>
                <w:sz w:val="20"/>
              </w:rPr>
            </w:pPr>
            <w:r w:rsidRPr="00275A92">
              <w:rPr>
                <w:rFonts w:ascii="Calibri" w:hAnsi="Calibri" w:cs="Calibri"/>
                <w:sz w:val="20"/>
              </w:rPr>
              <w:t>Référence</w:t>
            </w:r>
            <w:r w:rsidR="00275A92" w:rsidRPr="00275A92">
              <w:rPr>
                <w:rFonts w:ascii="Calibri" w:hAnsi="Calibri" w:cs="Calibri"/>
                <w:sz w:val="20"/>
              </w:rPr>
              <w:t> :</w:t>
            </w:r>
            <w:r w:rsidRPr="00275A92">
              <w:rPr>
                <w:rFonts w:ascii="Calibri" w:hAnsi="Calibri" w:cs="Calibri"/>
                <w:sz w:val="20"/>
              </w:rPr>
              <w:t xml:space="preserve"> Constitution</w:t>
            </w:r>
          </w:p>
        </w:tc>
        <w:tc>
          <w:tcPr>
            <w:tcW w:w="0" w:type="auto"/>
            <w:hideMark/>
          </w:tcPr>
          <w:p w14:paraId="4AA6249D" w14:textId="48518B67" w:rsidR="00FA0E3A" w:rsidRPr="00275A92" w:rsidRDefault="00FA0E3A" w:rsidP="00275A92">
            <w:pPr>
              <w:jc w:val="left"/>
              <w:rPr>
                <w:rFonts w:ascii="Calibri" w:hAnsi="Calibri" w:cs="Calibri"/>
                <w:sz w:val="20"/>
              </w:rPr>
            </w:pPr>
            <w:r w:rsidRPr="00275A92">
              <w:rPr>
                <w:rFonts w:ascii="Calibri" w:hAnsi="Calibri" w:cs="Calibri"/>
                <w:sz w:val="20"/>
              </w:rPr>
              <w:t>Référence</w:t>
            </w:r>
            <w:r w:rsidR="00275A92" w:rsidRPr="00275A92">
              <w:rPr>
                <w:rFonts w:ascii="Calibri" w:hAnsi="Calibri" w:cs="Calibri"/>
                <w:sz w:val="20"/>
              </w:rPr>
              <w:t> :</w:t>
            </w:r>
            <w:r w:rsidRPr="00275A92">
              <w:rPr>
                <w:rFonts w:ascii="Calibri" w:hAnsi="Calibri" w:cs="Calibri"/>
                <w:sz w:val="20"/>
              </w:rPr>
              <w:t xml:space="preserve"> traité, convention ou droit européen applicable</w:t>
            </w:r>
          </w:p>
        </w:tc>
      </w:tr>
      <w:tr w:rsidR="00FA0E3A" w:rsidRPr="00275A92" w14:paraId="07F4757E" w14:textId="77777777" w:rsidTr="00275A92">
        <w:tc>
          <w:tcPr>
            <w:tcW w:w="0" w:type="auto"/>
            <w:hideMark/>
          </w:tcPr>
          <w:p w14:paraId="7FA2BBEC" w14:textId="77777777" w:rsidR="00FA0E3A" w:rsidRPr="00275A92" w:rsidRDefault="00FA0E3A" w:rsidP="00275A92">
            <w:pPr>
              <w:jc w:val="left"/>
              <w:rPr>
                <w:rFonts w:ascii="Calibri" w:hAnsi="Calibri" w:cs="Calibri"/>
                <w:sz w:val="20"/>
              </w:rPr>
            </w:pPr>
            <w:r w:rsidRPr="00275A92">
              <w:rPr>
                <w:rFonts w:ascii="Calibri" w:hAnsi="Calibri" w:cs="Calibri"/>
                <w:sz w:val="20"/>
              </w:rPr>
              <w:t>Porte notamment sur la loi</w:t>
            </w:r>
          </w:p>
        </w:tc>
        <w:tc>
          <w:tcPr>
            <w:tcW w:w="0" w:type="auto"/>
            <w:hideMark/>
          </w:tcPr>
          <w:p w14:paraId="21104359" w14:textId="77777777" w:rsidR="00FA0E3A" w:rsidRPr="00275A92" w:rsidRDefault="00FA0E3A" w:rsidP="00275A92">
            <w:pPr>
              <w:jc w:val="left"/>
              <w:rPr>
                <w:rFonts w:ascii="Calibri" w:hAnsi="Calibri" w:cs="Calibri"/>
                <w:sz w:val="20"/>
              </w:rPr>
            </w:pPr>
            <w:r w:rsidRPr="00275A92">
              <w:rPr>
                <w:rFonts w:ascii="Calibri" w:hAnsi="Calibri" w:cs="Calibri"/>
                <w:sz w:val="20"/>
              </w:rPr>
              <w:t>Peut conduire à confronter la loi à une norme internationale ou européenne</w:t>
            </w:r>
          </w:p>
        </w:tc>
      </w:tr>
      <w:tr w:rsidR="00FA0E3A" w:rsidRPr="00275A92" w14:paraId="76784F9B" w14:textId="77777777" w:rsidTr="00275A92">
        <w:tc>
          <w:tcPr>
            <w:tcW w:w="0" w:type="auto"/>
            <w:hideMark/>
          </w:tcPr>
          <w:p w14:paraId="484C132D" w14:textId="77777777" w:rsidR="00FA0E3A" w:rsidRPr="00275A92" w:rsidRDefault="00FA0E3A" w:rsidP="00275A92">
            <w:pPr>
              <w:jc w:val="left"/>
              <w:rPr>
                <w:rFonts w:ascii="Calibri" w:hAnsi="Calibri" w:cs="Calibri"/>
                <w:sz w:val="20"/>
              </w:rPr>
            </w:pPr>
            <w:r w:rsidRPr="00275A92">
              <w:rPr>
                <w:rFonts w:ascii="Calibri" w:hAnsi="Calibri" w:cs="Calibri"/>
                <w:sz w:val="20"/>
              </w:rPr>
              <w:t>Conseil constitutionnel pour le contrôle de la loi</w:t>
            </w:r>
          </w:p>
        </w:tc>
        <w:tc>
          <w:tcPr>
            <w:tcW w:w="0" w:type="auto"/>
            <w:hideMark/>
          </w:tcPr>
          <w:p w14:paraId="29888C3A" w14:textId="77777777" w:rsidR="00FA0E3A" w:rsidRPr="00275A92" w:rsidRDefault="00FA0E3A" w:rsidP="00275A92">
            <w:pPr>
              <w:jc w:val="left"/>
              <w:rPr>
                <w:rFonts w:ascii="Calibri" w:hAnsi="Calibri" w:cs="Calibri"/>
                <w:sz w:val="20"/>
              </w:rPr>
            </w:pPr>
            <w:r w:rsidRPr="00275A92">
              <w:rPr>
                <w:rFonts w:ascii="Calibri" w:hAnsi="Calibri" w:cs="Calibri"/>
                <w:sz w:val="20"/>
              </w:rPr>
              <w:t>Juges judiciaires et administratifs pour le contrôle de conventionnalité</w:t>
            </w:r>
          </w:p>
        </w:tc>
      </w:tr>
      <w:tr w:rsidR="00FA0E3A" w:rsidRPr="00275A92" w14:paraId="7345B6F6" w14:textId="77777777" w:rsidTr="00275A92">
        <w:tc>
          <w:tcPr>
            <w:tcW w:w="0" w:type="auto"/>
            <w:hideMark/>
          </w:tcPr>
          <w:p w14:paraId="0092D28A" w14:textId="77777777" w:rsidR="00FA0E3A" w:rsidRPr="00275A92" w:rsidRDefault="00FA0E3A" w:rsidP="00275A92">
            <w:pPr>
              <w:jc w:val="left"/>
              <w:rPr>
                <w:rFonts w:ascii="Calibri" w:hAnsi="Calibri" w:cs="Calibri"/>
                <w:sz w:val="20"/>
              </w:rPr>
            </w:pPr>
            <w:r w:rsidRPr="00275A92">
              <w:rPr>
                <w:rFonts w:ascii="Calibri" w:hAnsi="Calibri" w:cs="Calibri"/>
                <w:sz w:val="20"/>
              </w:rPr>
              <w:t>Peut conduire à empêcher la promulgation ou à l'abrogation d'une disposition dans le cadre d'une QPC</w:t>
            </w:r>
          </w:p>
        </w:tc>
        <w:tc>
          <w:tcPr>
            <w:tcW w:w="0" w:type="auto"/>
            <w:hideMark/>
          </w:tcPr>
          <w:p w14:paraId="1BA3BAE5" w14:textId="77777777" w:rsidR="00FA0E3A" w:rsidRPr="00275A92" w:rsidRDefault="00FA0E3A" w:rsidP="00275A92">
            <w:pPr>
              <w:jc w:val="left"/>
              <w:rPr>
                <w:rFonts w:ascii="Calibri" w:hAnsi="Calibri" w:cs="Calibri"/>
                <w:sz w:val="20"/>
              </w:rPr>
            </w:pPr>
            <w:r w:rsidRPr="00275A92">
              <w:rPr>
                <w:rFonts w:ascii="Calibri" w:hAnsi="Calibri" w:cs="Calibri"/>
                <w:sz w:val="20"/>
              </w:rPr>
              <w:t>Conduit notamment le juge à écarter l'application de la disposition nationale incompatible dans le litige</w:t>
            </w:r>
          </w:p>
        </w:tc>
      </w:tr>
    </w:tbl>
    <w:p w14:paraId="5488E38E" w14:textId="77777777" w:rsidR="00FA0E3A" w:rsidRPr="00FA0E3A" w:rsidRDefault="00000000" w:rsidP="00275A92">
      <w:pPr>
        <w:spacing w:after="0" w:line="240" w:lineRule="auto"/>
      </w:pPr>
      <w:r>
        <w:pict w14:anchorId="3DC2FCB0">
          <v:rect id="_x0000_i1041" style="width:0;height:1.5pt" o:hralign="center" o:hrstd="t" o:hr="t" fillcolor="#a0a0a0" stroked="f"/>
        </w:pict>
      </w:r>
    </w:p>
    <w:p w14:paraId="228E9B46" w14:textId="77777777" w:rsidR="00FA0E3A" w:rsidRPr="00FA0E3A" w:rsidRDefault="00FA0E3A" w:rsidP="00275A92">
      <w:pPr>
        <w:pStyle w:val="Titre1"/>
      </w:pPr>
      <w:r w:rsidRPr="00FA0E3A">
        <w:t>15. Tableau général des sources</w:t>
      </w:r>
    </w:p>
    <w:tbl>
      <w:tblPr>
        <w:tblStyle w:val="Grilledutableau"/>
        <w:tblW w:w="0" w:type="auto"/>
        <w:tblLook w:val="04A0" w:firstRow="1" w:lastRow="0" w:firstColumn="1" w:lastColumn="0" w:noHBand="0" w:noVBand="1"/>
      </w:tblPr>
      <w:tblGrid>
        <w:gridCol w:w="1755"/>
        <w:gridCol w:w="3578"/>
        <w:gridCol w:w="5123"/>
      </w:tblGrid>
      <w:tr w:rsidR="00FA0E3A" w:rsidRPr="00275A92" w14:paraId="2E1292DC" w14:textId="77777777" w:rsidTr="00275A92">
        <w:trPr>
          <w:tblHeader/>
        </w:trPr>
        <w:tc>
          <w:tcPr>
            <w:tcW w:w="0" w:type="auto"/>
            <w:hideMark/>
          </w:tcPr>
          <w:p w14:paraId="53E79A5B"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Source</w:t>
            </w:r>
          </w:p>
        </w:tc>
        <w:tc>
          <w:tcPr>
            <w:tcW w:w="0" w:type="auto"/>
            <w:hideMark/>
          </w:tcPr>
          <w:p w14:paraId="77196B4C"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Auteur / origine</w:t>
            </w:r>
          </w:p>
        </w:tc>
        <w:tc>
          <w:tcPr>
            <w:tcW w:w="0" w:type="auto"/>
            <w:hideMark/>
          </w:tcPr>
          <w:p w14:paraId="25364570"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Valeur ou fonction principale</w:t>
            </w:r>
          </w:p>
        </w:tc>
      </w:tr>
      <w:tr w:rsidR="00FA0E3A" w:rsidRPr="00275A92" w14:paraId="56456408" w14:textId="77777777" w:rsidTr="00275A92">
        <w:tc>
          <w:tcPr>
            <w:tcW w:w="0" w:type="auto"/>
            <w:hideMark/>
          </w:tcPr>
          <w:p w14:paraId="1998CC1B" w14:textId="77777777" w:rsidR="00FA0E3A" w:rsidRPr="00275A92" w:rsidRDefault="00FA0E3A" w:rsidP="00275A92">
            <w:pPr>
              <w:jc w:val="left"/>
              <w:rPr>
                <w:rFonts w:ascii="Calibri" w:hAnsi="Calibri" w:cs="Calibri"/>
                <w:sz w:val="20"/>
              </w:rPr>
            </w:pPr>
            <w:r w:rsidRPr="00275A92">
              <w:rPr>
                <w:rFonts w:ascii="Calibri" w:hAnsi="Calibri" w:cs="Calibri"/>
                <w:b/>
                <w:bCs/>
                <w:sz w:val="20"/>
              </w:rPr>
              <w:t>Constitution</w:t>
            </w:r>
          </w:p>
        </w:tc>
        <w:tc>
          <w:tcPr>
            <w:tcW w:w="0" w:type="auto"/>
            <w:hideMark/>
          </w:tcPr>
          <w:p w14:paraId="15DAD48B" w14:textId="77777777" w:rsidR="00FA0E3A" w:rsidRPr="00275A92" w:rsidRDefault="00FA0E3A" w:rsidP="00275A92">
            <w:pPr>
              <w:jc w:val="left"/>
              <w:rPr>
                <w:rFonts w:ascii="Calibri" w:hAnsi="Calibri" w:cs="Calibri"/>
                <w:sz w:val="20"/>
              </w:rPr>
            </w:pPr>
            <w:r w:rsidRPr="00275A92">
              <w:rPr>
                <w:rFonts w:ascii="Calibri" w:hAnsi="Calibri" w:cs="Calibri"/>
                <w:sz w:val="20"/>
              </w:rPr>
              <w:t>Pouvoir constituant</w:t>
            </w:r>
          </w:p>
        </w:tc>
        <w:tc>
          <w:tcPr>
            <w:tcW w:w="0" w:type="auto"/>
            <w:hideMark/>
          </w:tcPr>
          <w:p w14:paraId="07189CD6" w14:textId="77777777" w:rsidR="00FA0E3A" w:rsidRPr="00275A92" w:rsidRDefault="00FA0E3A" w:rsidP="00275A92">
            <w:pPr>
              <w:jc w:val="left"/>
              <w:rPr>
                <w:rFonts w:ascii="Calibri" w:hAnsi="Calibri" w:cs="Calibri"/>
                <w:sz w:val="20"/>
              </w:rPr>
            </w:pPr>
            <w:r w:rsidRPr="00275A92">
              <w:rPr>
                <w:rFonts w:ascii="Calibri" w:hAnsi="Calibri" w:cs="Calibri"/>
                <w:sz w:val="20"/>
              </w:rPr>
              <w:t>Norme suprême dans l'ordre juridique interne</w:t>
            </w:r>
          </w:p>
        </w:tc>
      </w:tr>
      <w:tr w:rsidR="00FA0E3A" w:rsidRPr="00275A92" w14:paraId="73FF3478" w14:textId="77777777" w:rsidTr="00275A92">
        <w:tc>
          <w:tcPr>
            <w:tcW w:w="0" w:type="auto"/>
            <w:hideMark/>
          </w:tcPr>
          <w:p w14:paraId="3F1B59C7" w14:textId="77777777" w:rsidR="00FA0E3A" w:rsidRPr="00275A92" w:rsidRDefault="00FA0E3A" w:rsidP="00275A92">
            <w:pPr>
              <w:jc w:val="left"/>
              <w:rPr>
                <w:rFonts w:ascii="Calibri" w:hAnsi="Calibri" w:cs="Calibri"/>
                <w:sz w:val="20"/>
              </w:rPr>
            </w:pPr>
            <w:r w:rsidRPr="00275A92">
              <w:rPr>
                <w:rFonts w:ascii="Calibri" w:hAnsi="Calibri" w:cs="Calibri"/>
                <w:b/>
                <w:bCs/>
                <w:sz w:val="20"/>
              </w:rPr>
              <w:t>Traité international</w:t>
            </w:r>
          </w:p>
        </w:tc>
        <w:tc>
          <w:tcPr>
            <w:tcW w:w="0" w:type="auto"/>
            <w:hideMark/>
          </w:tcPr>
          <w:p w14:paraId="174FFD17" w14:textId="77777777" w:rsidR="00FA0E3A" w:rsidRPr="00275A92" w:rsidRDefault="00FA0E3A" w:rsidP="00275A92">
            <w:pPr>
              <w:jc w:val="left"/>
              <w:rPr>
                <w:rFonts w:ascii="Calibri" w:hAnsi="Calibri" w:cs="Calibri"/>
                <w:sz w:val="20"/>
              </w:rPr>
            </w:pPr>
            <w:r w:rsidRPr="00275A92">
              <w:rPr>
                <w:rFonts w:ascii="Calibri" w:hAnsi="Calibri" w:cs="Calibri"/>
                <w:sz w:val="20"/>
              </w:rPr>
              <w:t>États ou organisations internationales</w:t>
            </w:r>
          </w:p>
        </w:tc>
        <w:tc>
          <w:tcPr>
            <w:tcW w:w="0" w:type="auto"/>
            <w:hideMark/>
          </w:tcPr>
          <w:p w14:paraId="72AD0E01" w14:textId="77777777" w:rsidR="00FA0E3A" w:rsidRPr="00275A92" w:rsidRDefault="00FA0E3A" w:rsidP="00275A92">
            <w:pPr>
              <w:jc w:val="left"/>
              <w:rPr>
                <w:rFonts w:ascii="Calibri" w:hAnsi="Calibri" w:cs="Calibri"/>
                <w:sz w:val="20"/>
              </w:rPr>
            </w:pPr>
            <w:r w:rsidRPr="00275A92">
              <w:rPr>
                <w:rFonts w:ascii="Calibri" w:hAnsi="Calibri" w:cs="Calibri"/>
                <w:sz w:val="20"/>
              </w:rPr>
              <w:t>Supérieur à la loi lorsqu'il remplit les conditions permettant son application en droit interne</w:t>
            </w:r>
          </w:p>
        </w:tc>
      </w:tr>
      <w:tr w:rsidR="00FA0E3A" w:rsidRPr="00275A92" w14:paraId="1D6AF652" w14:textId="77777777" w:rsidTr="00275A92">
        <w:tc>
          <w:tcPr>
            <w:tcW w:w="0" w:type="auto"/>
            <w:hideMark/>
          </w:tcPr>
          <w:p w14:paraId="208CE664" w14:textId="77777777" w:rsidR="00FA0E3A" w:rsidRPr="00275A92" w:rsidRDefault="00FA0E3A" w:rsidP="00275A92">
            <w:pPr>
              <w:jc w:val="left"/>
              <w:rPr>
                <w:rFonts w:ascii="Calibri" w:hAnsi="Calibri" w:cs="Calibri"/>
                <w:sz w:val="20"/>
              </w:rPr>
            </w:pPr>
            <w:r w:rsidRPr="00275A92">
              <w:rPr>
                <w:rFonts w:ascii="Calibri" w:hAnsi="Calibri" w:cs="Calibri"/>
                <w:b/>
                <w:bCs/>
                <w:sz w:val="20"/>
              </w:rPr>
              <w:t>Droit primaire de l'UE</w:t>
            </w:r>
          </w:p>
        </w:tc>
        <w:tc>
          <w:tcPr>
            <w:tcW w:w="0" w:type="auto"/>
            <w:hideMark/>
          </w:tcPr>
          <w:p w14:paraId="586F5B79" w14:textId="77777777" w:rsidR="00FA0E3A" w:rsidRPr="00275A92" w:rsidRDefault="00FA0E3A" w:rsidP="00275A92">
            <w:pPr>
              <w:jc w:val="left"/>
              <w:rPr>
                <w:rFonts w:ascii="Calibri" w:hAnsi="Calibri" w:cs="Calibri"/>
                <w:sz w:val="20"/>
              </w:rPr>
            </w:pPr>
            <w:r w:rsidRPr="00275A92">
              <w:rPr>
                <w:rFonts w:ascii="Calibri" w:hAnsi="Calibri" w:cs="Calibri"/>
                <w:sz w:val="20"/>
              </w:rPr>
              <w:t>Traités européens</w:t>
            </w:r>
          </w:p>
        </w:tc>
        <w:tc>
          <w:tcPr>
            <w:tcW w:w="0" w:type="auto"/>
            <w:hideMark/>
          </w:tcPr>
          <w:p w14:paraId="4315264B" w14:textId="77777777" w:rsidR="00FA0E3A" w:rsidRPr="00275A92" w:rsidRDefault="00FA0E3A" w:rsidP="00275A92">
            <w:pPr>
              <w:jc w:val="left"/>
              <w:rPr>
                <w:rFonts w:ascii="Calibri" w:hAnsi="Calibri" w:cs="Calibri"/>
                <w:sz w:val="20"/>
              </w:rPr>
            </w:pPr>
            <w:r w:rsidRPr="00275A92">
              <w:rPr>
                <w:rFonts w:ascii="Calibri" w:hAnsi="Calibri" w:cs="Calibri"/>
                <w:sz w:val="20"/>
              </w:rPr>
              <w:t>Fondement de l'ordre juridique de l'Union</w:t>
            </w:r>
          </w:p>
        </w:tc>
      </w:tr>
      <w:tr w:rsidR="00FA0E3A" w:rsidRPr="00275A92" w14:paraId="5906AE87" w14:textId="77777777" w:rsidTr="00275A92">
        <w:tc>
          <w:tcPr>
            <w:tcW w:w="0" w:type="auto"/>
            <w:hideMark/>
          </w:tcPr>
          <w:p w14:paraId="2B7870EC" w14:textId="77777777" w:rsidR="00FA0E3A" w:rsidRPr="00275A92" w:rsidRDefault="00FA0E3A" w:rsidP="00275A92">
            <w:pPr>
              <w:jc w:val="left"/>
              <w:rPr>
                <w:rFonts w:ascii="Calibri" w:hAnsi="Calibri" w:cs="Calibri"/>
                <w:sz w:val="20"/>
              </w:rPr>
            </w:pPr>
            <w:r w:rsidRPr="00275A92">
              <w:rPr>
                <w:rFonts w:ascii="Calibri" w:hAnsi="Calibri" w:cs="Calibri"/>
                <w:b/>
                <w:bCs/>
                <w:sz w:val="20"/>
              </w:rPr>
              <w:t>Règlement européen</w:t>
            </w:r>
          </w:p>
        </w:tc>
        <w:tc>
          <w:tcPr>
            <w:tcW w:w="0" w:type="auto"/>
            <w:hideMark/>
          </w:tcPr>
          <w:p w14:paraId="4690CC00" w14:textId="77777777" w:rsidR="00FA0E3A" w:rsidRPr="00275A92" w:rsidRDefault="00FA0E3A" w:rsidP="00275A92">
            <w:pPr>
              <w:jc w:val="left"/>
              <w:rPr>
                <w:rFonts w:ascii="Calibri" w:hAnsi="Calibri" w:cs="Calibri"/>
                <w:sz w:val="20"/>
              </w:rPr>
            </w:pPr>
            <w:r w:rsidRPr="00275A92">
              <w:rPr>
                <w:rFonts w:ascii="Calibri" w:hAnsi="Calibri" w:cs="Calibri"/>
                <w:sz w:val="20"/>
              </w:rPr>
              <w:t>Institutions de l'UE</w:t>
            </w:r>
          </w:p>
        </w:tc>
        <w:tc>
          <w:tcPr>
            <w:tcW w:w="0" w:type="auto"/>
            <w:hideMark/>
          </w:tcPr>
          <w:p w14:paraId="3BEEF3AB" w14:textId="77777777" w:rsidR="00FA0E3A" w:rsidRPr="00275A92" w:rsidRDefault="00FA0E3A" w:rsidP="00275A92">
            <w:pPr>
              <w:jc w:val="left"/>
              <w:rPr>
                <w:rFonts w:ascii="Calibri" w:hAnsi="Calibri" w:cs="Calibri"/>
                <w:sz w:val="20"/>
              </w:rPr>
            </w:pPr>
            <w:r w:rsidRPr="00275A92">
              <w:rPr>
                <w:rFonts w:ascii="Calibri" w:hAnsi="Calibri" w:cs="Calibri"/>
                <w:sz w:val="20"/>
              </w:rPr>
              <w:t>Obligatoire et directement applicable</w:t>
            </w:r>
          </w:p>
        </w:tc>
      </w:tr>
      <w:tr w:rsidR="00FA0E3A" w:rsidRPr="00275A92" w14:paraId="51AEBCA1" w14:textId="77777777" w:rsidTr="00275A92">
        <w:tc>
          <w:tcPr>
            <w:tcW w:w="0" w:type="auto"/>
            <w:hideMark/>
          </w:tcPr>
          <w:p w14:paraId="70624EDA" w14:textId="77777777" w:rsidR="00FA0E3A" w:rsidRPr="00275A92" w:rsidRDefault="00FA0E3A" w:rsidP="00275A92">
            <w:pPr>
              <w:jc w:val="left"/>
              <w:rPr>
                <w:rFonts w:ascii="Calibri" w:hAnsi="Calibri" w:cs="Calibri"/>
                <w:sz w:val="20"/>
              </w:rPr>
            </w:pPr>
            <w:r w:rsidRPr="00275A92">
              <w:rPr>
                <w:rFonts w:ascii="Calibri" w:hAnsi="Calibri" w:cs="Calibri"/>
                <w:b/>
                <w:bCs/>
                <w:sz w:val="20"/>
              </w:rPr>
              <w:t>Directive européenne</w:t>
            </w:r>
          </w:p>
        </w:tc>
        <w:tc>
          <w:tcPr>
            <w:tcW w:w="0" w:type="auto"/>
            <w:hideMark/>
          </w:tcPr>
          <w:p w14:paraId="0677EAEC" w14:textId="77777777" w:rsidR="00FA0E3A" w:rsidRPr="00275A92" w:rsidRDefault="00FA0E3A" w:rsidP="00275A92">
            <w:pPr>
              <w:jc w:val="left"/>
              <w:rPr>
                <w:rFonts w:ascii="Calibri" w:hAnsi="Calibri" w:cs="Calibri"/>
                <w:sz w:val="20"/>
              </w:rPr>
            </w:pPr>
            <w:r w:rsidRPr="00275A92">
              <w:rPr>
                <w:rFonts w:ascii="Calibri" w:hAnsi="Calibri" w:cs="Calibri"/>
                <w:sz w:val="20"/>
              </w:rPr>
              <w:t>Institutions de l'UE</w:t>
            </w:r>
          </w:p>
        </w:tc>
        <w:tc>
          <w:tcPr>
            <w:tcW w:w="0" w:type="auto"/>
            <w:hideMark/>
          </w:tcPr>
          <w:p w14:paraId="417C1E99" w14:textId="77777777" w:rsidR="00FA0E3A" w:rsidRPr="00275A92" w:rsidRDefault="00FA0E3A" w:rsidP="00275A92">
            <w:pPr>
              <w:jc w:val="left"/>
              <w:rPr>
                <w:rFonts w:ascii="Calibri" w:hAnsi="Calibri" w:cs="Calibri"/>
                <w:sz w:val="20"/>
              </w:rPr>
            </w:pPr>
            <w:r w:rsidRPr="00275A92">
              <w:rPr>
                <w:rFonts w:ascii="Calibri" w:hAnsi="Calibri" w:cs="Calibri"/>
                <w:sz w:val="20"/>
              </w:rPr>
              <w:t>Lie les États quant au résultat à atteindre</w:t>
            </w:r>
          </w:p>
        </w:tc>
      </w:tr>
      <w:tr w:rsidR="00FA0E3A" w:rsidRPr="00275A92" w14:paraId="5CC11FC6" w14:textId="77777777" w:rsidTr="00275A92">
        <w:tc>
          <w:tcPr>
            <w:tcW w:w="0" w:type="auto"/>
            <w:hideMark/>
          </w:tcPr>
          <w:p w14:paraId="37875FA7" w14:textId="77777777" w:rsidR="00FA0E3A" w:rsidRPr="00275A92" w:rsidRDefault="00FA0E3A" w:rsidP="00275A92">
            <w:pPr>
              <w:jc w:val="left"/>
              <w:rPr>
                <w:rFonts w:ascii="Calibri" w:hAnsi="Calibri" w:cs="Calibri"/>
                <w:sz w:val="20"/>
              </w:rPr>
            </w:pPr>
            <w:r w:rsidRPr="00275A92">
              <w:rPr>
                <w:rFonts w:ascii="Calibri" w:hAnsi="Calibri" w:cs="Calibri"/>
                <w:b/>
                <w:bCs/>
                <w:sz w:val="20"/>
              </w:rPr>
              <w:t>Loi</w:t>
            </w:r>
          </w:p>
        </w:tc>
        <w:tc>
          <w:tcPr>
            <w:tcW w:w="0" w:type="auto"/>
            <w:hideMark/>
          </w:tcPr>
          <w:p w14:paraId="5F6D6A79" w14:textId="77777777" w:rsidR="00FA0E3A" w:rsidRPr="00275A92" w:rsidRDefault="00FA0E3A" w:rsidP="00275A92">
            <w:pPr>
              <w:jc w:val="left"/>
              <w:rPr>
                <w:rFonts w:ascii="Calibri" w:hAnsi="Calibri" w:cs="Calibri"/>
                <w:sz w:val="20"/>
              </w:rPr>
            </w:pPr>
            <w:r w:rsidRPr="00275A92">
              <w:rPr>
                <w:rFonts w:ascii="Calibri" w:hAnsi="Calibri" w:cs="Calibri"/>
                <w:sz w:val="20"/>
              </w:rPr>
              <w:t>Parlement ou référendum selon les cas</w:t>
            </w:r>
          </w:p>
        </w:tc>
        <w:tc>
          <w:tcPr>
            <w:tcW w:w="0" w:type="auto"/>
            <w:hideMark/>
          </w:tcPr>
          <w:p w14:paraId="039A97E0" w14:textId="77777777" w:rsidR="00FA0E3A" w:rsidRPr="00275A92" w:rsidRDefault="00FA0E3A" w:rsidP="00275A92">
            <w:pPr>
              <w:jc w:val="left"/>
              <w:rPr>
                <w:rFonts w:ascii="Calibri" w:hAnsi="Calibri" w:cs="Calibri"/>
                <w:sz w:val="20"/>
              </w:rPr>
            </w:pPr>
            <w:r w:rsidRPr="00275A92">
              <w:rPr>
                <w:rFonts w:ascii="Calibri" w:hAnsi="Calibri" w:cs="Calibri"/>
                <w:sz w:val="20"/>
              </w:rPr>
              <w:t>Règle relevant du domaine législatif</w:t>
            </w:r>
          </w:p>
        </w:tc>
      </w:tr>
      <w:tr w:rsidR="00FA0E3A" w:rsidRPr="00275A92" w14:paraId="5F6F2E4E" w14:textId="77777777" w:rsidTr="00275A92">
        <w:tc>
          <w:tcPr>
            <w:tcW w:w="0" w:type="auto"/>
            <w:hideMark/>
          </w:tcPr>
          <w:p w14:paraId="77ECDFFE" w14:textId="77777777" w:rsidR="00FA0E3A" w:rsidRPr="00275A92" w:rsidRDefault="00FA0E3A" w:rsidP="00275A92">
            <w:pPr>
              <w:jc w:val="left"/>
              <w:rPr>
                <w:rFonts w:ascii="Calibri" w:hAnsi="Calibri" w:cs="Calibri"/>
                <w:sz w:val="20"/>
              </w:rPr>
            </w:pPr>
            <w:r w:rsidRPr="00275A92">
              <w:rPr>
                <w:rFonts w:ascii="Calibri" w:hAnsi="Calibri" w:cs="Calibri"/>
                <w:b/>
                <w:bCs/>
                <w:sz w:val="20"/>
              </w:rPr>
              <w:t>Ordonnance</w:t>
            </w:r>
          </w:p>
        </w:tc>
        <w:tc>
          <w:tcPr>
            <w:tcW w:w="0" w:type="auto"/>
            <w:hideMark/>
          </w:tcPr>
          <w:p w14:paraId="555A1725" w14:textId="77777777" w:rsidR="00FA0E3A" w:rsidRPr="00275A92" w:rsidRDefault="00FA0E3A" w:rsidP="00275A92">
            <w:pPr>
              <w:jc w:val="left"/>
              <w:rPr>
                <w:rFonts w:ascii="Calibri" w:hAnsi="Calibri" w:cs="Calibri"/>
                <w:sz w:val="20"/>
              </w:rPr>
            </w:pPr>
            <w:r w:rsidRPr="00275A92">
              <w:rPr>
                <w:rFonts w:ascii="Calibri" w:hAnsi="Calibri" w:cs="Calibri"/>
                <w:sz w:val="20"/>
              </w:rPr>
              <w:t>Gouvernement après habilitation</w:t>
            </w:r>
          </w:p>
        </w:tc>
        <w:tc>
          <w:tcPr>
            <w:tcW w:w="0" w:type="auto"/>
            <w:hideMark/>
          </w:tcPr>
          <w:p w14:paraId="7C36DAA7" w14:textId="77777777" w:rsidR="00FA0E3A" w:rsidRPr="00275A92" w:rsidRDefault="00FA0E3A" w:rsidP="00275A92">
            <w:pPr>
              <w:jc w:val="left"/>
              <w:rPr>
                <w:rFonts w:ascii="Calibri" w:hAnsi="Calibri" w:cs="Calibri"/>
                <w:sz w:val="20"/>
              </w:rPr>
            </w:pPr>
            <w:r w:rsidRPr="00275A92">
              <w:rPr>
                <w:rFonts w:ascii="Calibri" w:hAnsi="Calibri" w:cs="Calibri"/>
                <w:sz w:val="20"/>
              </w:rPr>
              <w:t>Intervention dans le domaine de la loi selon le régime constitutionnel de l'article 38</w:t>
            </w:r>
          </w:p>
        </w:tc>
      </w:tr>
      <w:tr w:rsidR="00FA0E3A" w:rsidRPr="00275A92" w14:paraId="1D657736" w14:textId="77777777" w:rsidTr="00275A92">
        <w:tc>
          <w:tcPr>
            <w:tcW w:w="0" w:type="auto"/>
            <w:hideMark/>
          </w:tcPr>
          <w:p w14:paraId="47504711" w14:textId="77777777" w:rsidR="00FA0E3A" w:rsidRPr="00275A92" w:rsidRDefault="00FA0E3A" w:rsidP="00275A92">
            <w:pPr>
              <w:jc w:val="left"/>
              <w:rPr>
                <w:rFonts w:ascii="Calibri" w:hAnsi="Calibri" w:cs="Calibri"/>
                <w:sz w:val="20"/>
              </w:rPr>
            </w:pPr>
            <w:r w:rsidRPr="00275A92">
              <w:rPr>
                <w:rFonts w:ascii="Calibri" w:hAnsi="Calibri" w:cs="Calibri"/>
                <w:b/>
                <w:bCs/>
                <w:sz w:val="20"/>
              </w:rPr>
              <w:t>Décret</w:t>
            </w:r>
          </w:p>
        </w:tc>
        <w:tc>
          <w:tcPr>
            <w:tcW w:w="0" w:type="auto"/>
            <w:hideMark/>
          </w:tcPr>
          <w:p w14:paraId="6DC3441E" w14:textId="77777777" w:rsidR="00FA0E3A" w:rsidRPr="00275A92" w:rsidRDefault="00FA0E3A" w:rsidP="00275A92">
            <w:pPr>
              <w:jc w:val="left"/>
              <w:rPr>
                <w:rFonts w:ascii="Calibri" w:hAnsi="Calibri" w:cs="Calibri"/>
                <w:sz w:val="20"/>
              </w:rPr>
            </w:pPr>
            <w:r w:rsidRPr="00275A92">
              <w:rPr>
                <w:rFonts w:ascii="Calibri" w:hAnsi="Calibri" w:cs="Calibri"/>
                <w:sz w:val="20"/>
              </w:rPr>
              <w:t>Président de la République ou Premier ministre selon le cas</w:t>
            </w:r>
          </w:p>
        </w:tc>
        <w:tc>
          <w:tcPr>
            <w:tcW w:w="0" w:type="auto"/>
            <w:hideMark/>
          </w:tcPr>
          <w:p w14:paraId="77193725" w14:textId="77777777" w:rsidR="00FA0E3A" w:rsidRPr="00275A92" w:rsidRDefault="00FA0E3A" w:rsidP="00275A92">
            <w:pPr>
              <w:jc w:val="left"/>
              <w:rPr>
                <w:rFonts w:ascii="Calibri" w:hAnsi="Calibri" w:cs="Calibri"/>
                <w:sz w:val="20"/>
              </w:rPr>
            </w:pPr>
            <w:r w:rsidRPr="00275A92">
              <w:rPr>
                <w:rFonts w:ascii="Calibri" w:hAnsi="Calibri" w:cs="Calibri"/>
                <w:sz w:val="20"/>
              </w:rPr>
              <w:t>Norme réglementaire</w:t>
            </w:r>
          </w:p>
        </w:tc>
      </w:tr>
      <w:tr w:rsidR="00FA0E3A" w:rsidRPr="00275A92" w14:paraId="4662A098" w14:textId="77777777" w:rsidTr="00275A92">
        <w:tc>
          <w:tcPr>
            <w:tcW w:w="0" w:type="auto"/>
            <w:hideMark/>
          </w:tcPr>
          <w:p w14:paraId="589B1454" w14:textId="77777777" w:rsidR="00FA0E3A" w:rsidRPr="00275A92" w:rsidRDefault="00FA0E3A" w:rsidP="00275A92">
            <w:pPr>
              <w:jc w:val="left"/>
              <w:rPr>
                <w:rFonts w:ascii="Calibri" w:hAnsi="Calibri" w:cs="Calibri"/>
                <w:sz w:val="20"/>
              </w:rPr>
            </w:pPr>
            <w:r w:rsidRPr="00275A92">
              <w:rPr>
                <w:rFonts w:ascii="Calibri" w:hAnsi="Calibri" w:cs="Calibri"/>
                <w:b/>
                <w:bCs/>
                <w:sz w:val="20"/>
              </w:rPr>
              <w:t>Arrêté</w:t>
            </w:r>
          </w:p>
        </w:tc>
        <w:tc>
          <w:tcPr>
            <w:tcW w:w="0" w:type="auto"/>
            <w:hideMark/>
          </w:tcPr>
          <w:p w14:paraId="5067BFD1" w14:textId="77777777" w:rsidR="00FA0E3A" w:rsidRPr="00275A92" w:rsidRDefault="00FA0E3A" w:rsidP="00275A92">
            <w:pPr>
              <w:jc w:val="left"/>
              <w:rPr>
                <w:rFonts w:ascii="Calibri" w:hAnsi="Calibri" w:cs="Calibri"/>
                <w:sz w:val="20"/>
              </w:rPr>
            </w:pPr>
            <w:r w:rsidRPr="00275A92">
              <w:rPr>
                <w:rFonts w:ascii="Calibri" w:hAnsi="Calibri" w:cs="Calibri"/>
                <w:sz w:val="20"/>
              </w:rPr>
              <w:t>Ministre, préfet, maire ou autre autorité compétente</w:t>
            </w:r>
          </w:p>
        </w:tc>
        <w:tc>
          <w:tcPr>
            <w:tcW w:w="0" w:type="auto"/>
            <w:hideMark/>
          </w:tcPr>
          <w:p w14:paraId="3736A4F2" w14:textId="77777777" w:rsidR="00FA0E3A" w:rsidRPr="00275A92" w:rsidRDefault="00FA0E3A" w:rsidP="00275A92">
            <w:pPr>
              <w:jc w:val="left"/>
              <w:rPr>
                <w:rFonts w:ascii="Calibri" w:hAnsi="Calibri" w:cs="Calibri"/>
                <w:sz w:val="20"/>
              </w:rPr>
            </w:pPr>
            <w:r w:rsidRPr="00275A92">
              <w:rPr>
                <w:rFonts w:ascii="Calibri" w:hAnsi="Calibri" w:cs="Calibri"/>
                <w:sz w:val="20"/>
              </w:rPr>
              <w:t>Norme réglementaire de niveau inférieur</w:t>
            </w:r>
          </w:p>
        </w:tc>
      </w:tr>
      <w:tr w:rsidR="00FA0E3A" w:rsidRPr="00275A92" w14:paraId="0F2B6CC4" w14:textId="77777777" w:rsidTr="00275A92">
        <w:tc>
          <w:tcPr>
            <w:tcW w:w="0" w:type="auto"/>
            <w:hideMark/>
          </w:tcPr>
          <w:p w14:paraId="50B7C866" w14:textId="77777777" w:rsidR="00FA0E3A" w:rsidRPr="00275A92" w:rsidRDefault="00FA0E3A" w:rsidP="00275A92">
            <w:pPr>
              <w:jc w:val="left"/>
              <w:rPr>
                <w:rFonts w:ascii="Calibri" w:hAnsi="Calibri" w:cs="Calibri"/>
                <w:sz w:val="20"/>
              </w:rPr>
            </w:pPr>
            <w:r w:rsidRPr="00275A92">
              <w:rPr>
                <w:rFonts w:ascii="Calibri" w:hAnsi="Calibri" w:cs="Calibri"/>
                <w:b/>
                <w:bCs/>
                <w:sz w:val="20"/>
              </w:rPr>
              <w:t>Jurisprudence</w:t>
            </w:r>
          </w:p>
        </w:tc>
        <w:tc>
          <w:tcPr>
            <w:tcW w:w="0" w:type="auto"/>
            <w:hideMark/>
          </w:tcPr>
          <w:p w14:paraId="358FE173" w14:textId="77777777" w:rsidR="00FA0E3A" w:rsidRPr="00275A92" w:rsidRDefault="00FA0E3A" w:rsidP="00275A92">
            <w:pPr>
              <w:jc w:val="left"/>
              <w:rPr>
                <w:rFonts w:ascii="Calibri" w:hAnsi="Calibri" w:cs="Calibri"/>
                <w:sz w:val="20"/>
              </w:rPr>
            </w:pPr>
            <w:r w:rsidRPr="00275A92">
              <w:rPr>
                <w:rFonts w:ascii="Calibri" w:hAnsi="Calibri" w:cs="Calibri"/>
                <w:sz w:val="20"/>
              </w:rPr>
              <w:t>Juridictions</w:t>
            </w:r>
          </w:p>
        </w:tc>
        <w:tc>
          <w:tcPr>
            <w:tcW w:w="0" w:type="auto"/>
            <w:hideMark/>
          </w:tcPr>
          <w:p w14:paraId="6BC8BDEF" w14:textId="77777777" w:rsidR="00FA0E3A" w:rsidRPr="00275A92" w:rsidRDefault="00FA0E3A" w:rsidP="00275A92">
            <w:pPr>
              <w:jc w:val="left"/>
              <w:rPr>
                <w:rFonts w:ascii="Calibri" w:hAnsi="Calibri" w:cs="Calibri"/>
                <w:sz w:val="20"/>
              </w:rPr>
            </w:pPr>
            <w:r w:rsidRPr="00275A92">
              <w:rPr>
                <w:rFonts w:ascii="Calibri" w:hAnsi="Calibri" w:cs="Calibri"/>
                <w:sz w:val="20"/>
              </w:rPr>
              <w:t>Interprète et précise le droit</w:t>
            </w:r>
          </w:p>
        </w:tc>
      </w:tr>
      <w:tr w:rsidR="00FA0E3A" w:rsidRPr="00275A92" w14:paraId="5EAF7781" w14:textId="77777777" w:rsidTr="00275A92">
        <w:tc>
          <w:tcPr>
            <w:tcW w:w="0" w:type="auto"/>
            <w:hideMark/>
          </w:tcPr>
          <w:p w14:paraId="0FF86742" w14:textId="77777777" w:rsidR="00FA0E3A" w:rsidRPr="00275A92" w:rsidRDefault="00FA0E3A" w:rsidP="00275A92">
            <w:pPr>
              <w:jc w:val="left"/>
              <w:rPr>
                <w:rFonts w:ascii="Calibri" w:hAnsi="Calibri" w:cs="Calibri"/>
                <w:sz w:val="20"/>
              </w:rPr>
            </w:pPr>
            <w:r w:rsidRPr="00275A92">
              <w:rPr>
                <w:rFonts w:ascii="Calibri" w:hAnsi="Calibri" w:cs="Calibri"/>
                <w:b/>
                <w:bCs/>
                <w:sz w:val="20"/>
              </w:rPr>
              <w:t>Usage professionnel</w:t>
            </w:r>
          </w:p>
        </w:tc>
        <w:tc>
          <w:tcPr>
            <w:tcW w:w="0" w:type="auto"/>
            <w:hideMark/>
          </w:tcPr>
          <w:p w14:paraId="479E1077" w14:textId="77777777" w:rsidR="00FA0E3A" w:rsidRPr="00275A92" w:rsidRDefault="00FA0E3A" w:rsidP="00275A92">
            <w:pPr>
              <w:jc w:val="left"/>
              <w:rPr>
                <w:rFonts w:ascii="Calibri" w:hAnsi="Calibri" w:cs="Calibri"/>
                <w:sz w:val="20"/>
              </w:rPr>
            </w:pPr>
            <w:r w:rsidRPr="00275A92">
              <w:rPr>
                <w:rFonts w:ascii="Calibri" w:hAnsi="Calibri" w:cs="Calibri"/>
                <w:sz w:val="20"/>
              </w:rPr>
              <w:t>Pratique professionnelle</w:t>
            </w:r>
          </w:p>
        </w:tc>
        <w:tc>
          <w:tcPr>
            <w:tcW w:w="0" w:type="auto"/>
            <w:hideMark/>
          </w:tcPr>
          <w:p w14:paraId="15EA75A2" w14:textId="77777777" w:rsidR="00FA0E3A" w:rsidRPr="00275A92" w:rsidRDefault="00FA0E3A" w:rsidP="00275A92">
            <w:pPr>
              <w:jc w:val="left"/>
              <w:rPr>
                <w:rFonts w:ascii="Calibri" w:hAnsi="Calibri" w:cs="Calibri"/>
                <w:sz w:val="20"/>
              </w:rPr>
            </w:pPr>
            <w:r w:rsidRPr="00275A92">
              <w:rPr>
                <w:rFonts w:ascii="Calibri" w:hAnsi="Calibri" w:cs="Calibri"/>
                <w:sz w:val="20"/>
              </w:rPr>
              <w:t>Peut produire des effets juridiques selon les conditions propres à la matière</w:t>
            </w:r>
          </w:p>
        </w:tc>
      </w:tr>
      <w:tr w:rsidR="00FA0E3A" w:rsidRPr="00275A92" w14:paraId="2AABE289" w14:textId="77777777" w:rsidTr="00275A92">
        <w:tc>
          <w:tcPr>
            <w:tcW w:w="0" w:type="auto"/>
            <w:hideMark/>
          </w:tcPr>
          <w:p w14:paraId="0C887DC9" w14:textId="77777777" w:rsidR="00FA0E3A" w:rsidRPr="00275A92" w:rsidRDefault="00FA0E3A" w:rsidP="00275A92">
            <w:pPr>
              <w:jc w:val="left"/>
              <w:rPr>
                <w:rFonts w:ascii="Calibri" w:hAnsi="Calibri" w:cs="Calibri"/>
                <w:sz w:val="20"/>
              </w:rPr>
            </w:pPr>
            <w:r w:rsidRPr="00275A92">
              <w:rPr>
                <w:rFonts w:ascii="Calibri" w:hAnsi="Calibri" w:cs="Calibri"/>
                <w:b/>
                <w:bCs/>
                <w:sz w:val="20"/>
              </w:rPr>
              <w:t>Doctrine</w:t>
            </w:r>
          </w:p>
        </w:tc>
        <w:tc>
          <w:tcPr>
            <w:tcW w:w="0" w:type="auto"/>
            <w:hideMark/>
          </w:tcPr>
          <w:p w14:paraId="6B4E4D67" w14:textId="77777777" w:rsidR="00FA0E3A" w:rsidRPr="00275A92" w:rsidRDefault="00FA0E3A" w:rsidP="00275A92">
            <w:pPr>
              <w:jc w:val="left"/>
              <w:rPr>
                <w:rFonts w:ascii="Calibri" w:hAnsi="Calibri" w:cs="Calibri"/>
                <w:sz w:val="20"/>
              </w:rPr>
            </w:pPr>
            <w:r w:rsidRPr="00275A92">
              <w:rPr>
                <w:rFonts w:ascii="Calibri" w:hAnsi="Calibri" w:cs="Calibri"/>
                <w:sz w:val="20"/>
              </w:rPr>
              <w:t>Universitaires et praticiens</w:t>
            </w:r>
          </w:p>
        </w:tc>
        <w:tc>
          <w:tcPr>
            <w:tcW w:w="0" w:type="auto"/>
            <w:hideMark/>
          </w:tcPr>
          <w:p w14:paraId="35FC49E7" w14:textId="77777777" w:rsidR="00FA0E3A" w:rsidRPr="00275A92" w:rsidRDefault="00FA0E3A" w:rsidP="00275A92">
            <w:pPr>
              <w:jc w:val="left"/>
              <w:rPr>
                <w:rFonts w:ascii="Calibri" w:hAnsi="Calibri" w:cs="Calibri"/>
                <w:sz w:val="20"/>
              </w:rPr>
            </w:pPr>
            <w:r w:rsidRPr="00275A92">
              <w:rPr>
                <w:rFonts w:ascii="Calibri" w:hAnsi="Calibri" w:cs="Calibri"/>
                <w:sz w:val="20"/>
              </w:rPr>
              <w:t>Analyse et interprète le droit sans force obligatoire propre</w:t>
            </w:r>
          </w:p>
        </w:tc>
      </w:tr>
    </w:tbl>
    <w:p w14:paraId="1F1E5D6A" w14:textId="77777777" w:rsidR="00FA0E3A" w:rsidRPr="00FA0E3A" w:rsidRDefault="00000000" w:rsidP="00275A92">
      <w:pPr>
        <w:spacing w:after="0" w:line="240" w:lineRule="auto"/>
      </w:pPr>
      <w:r>
        <w:pict w14:anchorId="7C64BDD5">
          <v:rect id="_x0000_i1042" style="width:0;height:1.5pt" o:hralign="center" o:hrstd="t" o:hr="t" fillcolor="#a0a0a0" stroked="f"/>
        </w:pict>
      </w:r>
    </w:p>
    <w:p w14:paraId="6AF27576" w14:textId="77777777" w:rsidR="00FA0E3A" w:rsidRPr="00FA0E3A" w:rsidRDefault="00FA0E3A" w:rsidP="00275A92">
      <w:pPr>
        <w:pStyle w:val="Titre1"/>
      </w:pPr>
      <w:r w:rsidRPr="00FA0E3A">
        <w:t>16. Points essentiels</w:t>
      </w:r>
    </w:p>
    <w:p w14:paraId="7291146B" w14:textId="5A7BDF41" w:rsidR="00FA0E3A" w:rsidRPr="00FA0E3A" w:rsidRDefault="00FA0E3A" w:rsidP="00275A92">
      <w:pPr>
        <w:numPr>
          <w:ilvl w:val="0"/>
          <w:numId w:val="30"/>
        </w:numPr>
        <w:spacing w:after="0" w:line="240" w:lineRule="auto"/>
      </w:pPr>
      <w:r w:rsidRPr="00FA0E3A">
        <w:t xml:space="preserve">Une règle de droit ne doit pas seulement être </w:t>
      </w:r>
      <w:r w:rsidRPr="00FA0E3A">
        <w:rPr>
          <w:b/>
          <w:bCs/>
        </w:rPr>
        <w:t>connue</w:t>
      </w:r>
      <w:r w:rsidR="00275A92">
        <w:t> :</w:t>
      </w:r>
      <w:r w:rsidRPr="00FA0E3A">
        <w:t xml:space="preserve"> il faut déterminer si elle est </w:t>
      </w:r>
      <w:r w:rsidRPr="00FA0E3A">
        <w:rPr>
          <w:b/>
          <w:bCs/>
        </w:rPr>
        <w:t>applicable à la situation</w:t>
      </w:r>
      <w:r w:rsidRPr="00FA0E3A">
        <w:t>.</w:t>
      </w:r>
    </w:p>
    <w:p w14:paraId="42C94415" w14:textId="77777777" w:rsidR="00FA0E3A" w:rsidRPr="00FA0E3A" w:rsidRDefault="00FA0E3A" w:rsidP="00275A92">
      <w:pPr>
        <w:numPr>
          <w:ilvl w:val="0"/>
          <w:numId w:val="30"/>
        </w:numPr>
        <w:spacing w:after="0" w:line="240" w:lineRule="auto"/>
      </w:pPr>
      <w:r w:rsidRPr="00FA0E3A">
        <w:t xml:space="preserve">Une norme doit être recherchée dans sa </w:t>
      </w:r>
      <w:r w:rsidRPr="00FA0E3A">
        <w:rPr>
          <w:b/>
          <w:bCs/>
        </w:rPr>
        <w:t>version en vigueur à la date des faits</w:t>
      </w:r>
      <w:r w:rsidRPr="00FA0E3A">
        <w:t>.</w:t>
      </w:r>
    </w:p>
    <w:p w14:paraId="3E45B32B" w14:textId="77777777" w:rsidR="00FA0E3A" w:rsidRPr="00FA0E3A" w:rsidRDefault="00FA0E3A" w:rsidP="00275A92">
      <w:pPr>
        <w:numPr>
          <w:ilvl w:val="0"/>
          <w:numId w:val="30"/>
        </w:numPr>
        <w:spacing w:after="0" w:line="240" w:lineRule="auto"/>
      </w:pPr>
      <w:r w:rsidRPr="00FA0E3A">
        <w:t>La date d'une loi n'est pas nécessairement sa date d'entrée en vigueur.</w:t>
      </w:r>
    </w:p>
    <w:p w14:paraId="12F754C9" w14:textId="77777777" w:rsidR="00FA0E3A" w:rsidRPr="00FA0E3A" w:rsidRDefault="00FA0E3A" w:rsidP="00275A92">
      <w:pPr>
        <w:numPr>
          <w:ilvl w:val="0"/>
          <w:numId w:val="30"/>
        </w:numPr>
        <w:spacing w:after="0" w:line="240" w:lineRule="auto"/>
      </w:pPr>
      <w:r w:rsidRPr="00FA0E3A">
        <w:t>Une source officielle doit être privilégiée pour vérifier le droit positif.</w:t>
      </w:r>
    </w:p>
    <w:p w14:paraId="357C6688" w14:textId="30EC3469" w:rsidR="00FA0E3A" w:rsidRPr="00FA0E3A" w:rsidRDefault="00FA0E3A" w:rsidP="00275A92">
      <w:pPr>
        <w:numPr>
          <w:ilvl w:val="0"/>
          <w:numId w:val="30"/>
        </w:numPr>
        <w:spacing w:after="0" w:line="240" w:lineRule="auto"/>
      </w:pPr>
      <w:r w:rsidRPr="00FA0E3A">
        <w:t>Une jurisprudence doit être identifiée précisément</w:t>
      </w:r>
      <w:r w:rsidR="00275A92">
        <w:t> :</w:t>
      </w:r>
      <w:r w:rsidRPr="00FA0E3A">
        <w:t xml:space="preserve"> </w:t>
      </w:r>
      <w:r w:rsidRPr="00FA0E3A">
        <w:rPr>
          <w:b/>
          <w:bCs/>
        </w:rPr>
        <w:t>juridiction, date, numéro de décision ou de pourvoi</w:t>
      </w:r>
      <w:r w:rsidRPr="00FA0E3A">
        <w:t>.</w:t>
      </w:r>
    </w:p>
    <w:p w14:paraId="00763C23" w14:textId="77777777" w:rsidR="00FA0E3A" w:rsidRPr="00FA0E3A" w:rsidRDefault="00FA0E3A" w:rsidP="00275A92">
      <w:pPr>
        <w:numPr>
          <w:ilvl w:val="0"/>
          <w:numId w:val="30"/>
        </w:numPr>
        <w:spacing w:after="0" w:line="240" w:lineRule="auto"/>
      </w:pPr>
      <w:r w:rsidRPr="00FA0E3A">
        <w:t>Une décision de justice et un commentaire doctrinal n'ont pas la même valeur juridique.</w:t>
      </w:r>
    </w:p>
    <w:p w14:paraId="52EDBE31" w14:textId="77777777" w:rsidR="00FA0E3A" w:rsidRPr="00FA0E3A" w:rsidRDefault="00FA0E3A" w:rsidP="00275A92">
      <w:pPr>
        <w:numPr>
          <w:ilvl w:val="0"/>
          <w:numId w:val="30"/>
        </w:numPr>
        <w:spacing w:after="0" w:line="240" w:lineRule="auto"/>
      </w:pPr>
      <w:r w:rsidRPr="00FA0E3A">
        <w:t>Le règlement européen et la directive européenne ne produisent pas leurs effets selon les mêmes modalités.</w:t>
      </w:r>
    </w:p>
    <w:p w14:paraId="05A62F7A" w14:textId="77777777" w:rsidR="00FA0E3A" w:rsidRPr="00FA0E3A" w:rsidRDefault="00FA0E3A" w:rsidP="00275A92">
      <w:pPr>
        <w:numPr>
          <w:ilvl w:val="0"/>
          <w:numId w:val="30"/>
        </w:numPr>
        <w:spacing w:after="0" w:line="240" w:lineRule="auto"/>
      </w:pPr>
      <w:r w:rsidRPr="00FA0E3A">
        <w:t>Constitutionnalité et conventionnalité correspondent à deux contrôles différents.</w:t>
      </w:r>
    </w:p>
    <w:p w14:paraId="537819CF" w14:textId="77777777" w:rsidR="00FA0E3A" w:rsidRPr="00FA0E3A" w:rsidRDefault="00FA0E3A" w:rsidP="00275A92">
      <w:pPr>
        <w:numPr>
          <w:ilvl w:val="0"/>
          <w:numId w:val="30"/>
        </w:numPr>
        <w:spacing w:after="0" w:line="240" w:lineRule="auto"/>
      </w:pPr>
      <w:r w:rsidRPr="00FA0E3A">
        <w:t>Une norme nationale contraire au droit européen applicable peut être écartée par le juge sans être pour autant automatiquement supprimée de l'ordre juridique.</w:t>
      </w:r>
    </w:p>
    <w:p w14:paraId="418306C5" w14:textId="77777777" w:rsidR="00FA0E3A" w:rsidRPr="00FA0E3A" w:rsidRDefault="00FA0E3A" w:rsidP="00275A92">
      <w:pPr>
        <w:numPr>
          <w:ilvl w:val="0"/>
          <w:numId w:val="30"/>
        </w:numPr>
        <w:spacing w:after="0" w:line="240" w:lineRule="auto"/>
      </w:pPr>
      <w:r w:rsidRPr="00FA0E3A">
        <w:t xml:space="preserve">La hiérarchie des normes doit être utilisée comme un </w:t>
      </w:r>
      <w:r w:rsidRPr="00FA0E3A">
        <w:rPr>
          <w:b/>
          <w:bCs/>
        </w:rPr>
        <w:t>outil de résolution d'un problème juridique</w:t>
      </w:r>
      <w:r w:rsidRPr="00FA0E3A">
        <w:t>, et non comme une liste à réciter.</w:t>
      </w:r>
    </w:p>
    <w:p w14:paraId="5AA794F9" w14:textId="77777777" w:rsidR="00FA0E3A" w:rsidRPr="00FA0E3A" w:rsidRDefault="00000000" w:rsidP="00275A92">
      <w:pPr>
        <w:spacing w:after="0" w:line="240" w:lineRule="auto"/>
      </w:pPr>
      <w:r>
        <w:pict w14:anchorId="3FD382AC">
          <v:rect id="_x0000_i1043" style="width:0;height:1.5pt" o:hralign="center" o:hrstd="t" o:hr="t" fillcolor="#a0a0a0" stroked="f"/>
        </w:pict>
      </w:r>
    </w:p>
    <w:p w14:paraId="6A0AF364" w14:textId="77777777" w:rsidR="00FA0E3A" w:rsidRPr="00FA0E3A" w:rsidRDefault="00FA0E3A" w:rsidP="00275A92">
      <w:pPr>
        <w:pStyle w:val="Titre1"/>
      </w:pPr>
      <w:r w:rsidRPr="00FA0E3A">
        <w:lastRenderedPageBreak/>
        <w:t>17. Droit applicable et évolutions</w:t>
      </w:r>
    </w:p>
    <w:p w14:paraId="4128227D" w14:textId="77777777" w:rsidR="00FA0E3A" w:rsidRPr="00FA0E3A" w:rsidRDefault="00FA0E3A" w:rsidP="00275A92">
      <w:pPr>
        <w:spacing w:after="0" w:line="240" w:lineRule="auto"/>
        <w:rPr>
          <w:b/>
          <w:bCs/>
        </w:rPr>
      </w:pPr>
      <w:r w:rsidRPr="00FA0E3A">
        <w:rPr>
          <w:b/>
          <w:bCs/>
        </w:rPr>
        <w:t>Droit applicable au 12 août 2026</w:t>
      </w:r>
    </w:p>
    <w:p w14:paraId="3BBFE31D" w14:textId="77777777" w:rsidR="00FA0E3A" w:rsidRPr="00FA0E3A" w:rsidRDefault="00FA0E3A" w:rsidP="00275A92">
      <w:pPr>
        <w:spacing w:after="0" w:line="240" w:lineRule="auto"/>
      </w:pPr>
      <w:r w:rsidRPr="00FA0E3A">
        <w:t>Les règles et références présentées dans cette fiche ont été vérifiées dans leur version applicable à cette date à partir des sources institutionnelles officielles mentionnées ci-dessous.</w:t>
      </w:r>
    </w:p>
    <w:p w14:paraId="4B7890DF" w14:textId="77777777" w:rsidR="00FA0E3A" w:rsidRPr="00FA0E3A" w:rsidRDefault="00FA0E3A" w:rsidP="00275A92">
      <w:pPr>
        <w:spacing w:after="0" w:line="240" w:lineRule="auto"/>
        <w:rPr>
          <w:b/>
          <w:bCs/>
        </w:rPr>
      </w:pPr>
      <w:r w:rsidRPr="00FA0E3A">
        <w:rPr>
          <w:b/>
          <w:bCs/>
        </w:rPr>
        <w:t>Évolution déjà votée mais à venir</w:t>
      </w:r>
    </w:p>
    <w:p w14:paraId="6B5AA3D6" w14:textId="77777777" w:rsidR="00FA0E3A" w:rsidRPr="00FA0E3A" w:rsidRDefault="00FA0E3A" w:rsidP="00275A92">
      <w:pPr>
        <w:spacing w:after="0" w:line="240" w:lineRule="auto"/>
      </w:pPr>
      <w:r w:rsidRPr="00FA0E3A">
        <w:t>Aucune évolution différée identifiée dans les sources officielles consultées ne nécessite, à la date de mise à jour, de modifier les principes généraux présentés dans cette fiche.</w:t>
      </w:r>
    </w:p>
    <w:p w14:paraId="0F4C2701" w14:textId="77777777" w:rsidR="00FA0E3A" w:rsidRPr="00FA0E3A" w:rsidRDefault="00000000" w:rsidP="00275A92">
      <w:pPr>
        <w:spacing w:after="0" w:line="240" w:lineRule="auto"/>
      </w:pPr>
      <w:r>
        <w:pict w14:anchorId="3048E8B6">
          <v:rect id="_x0000_i1044" style="width:0;height:1.5pt" o:hralign="center" o:hrstd="t" o:hr="t" fillcolor="#a0a0a0" stroked="f"/>
        </w:pict>
      </w:r>
    </w:p>
    <w:p w14:paraId="77811851" w14:textId="77777777" w:rsidR="00FA0E3A" w:rsidRPr="00FA0E3A" w:rsidRDefault="00FA0E3A" w:rsidP="00275A92">
      <w:pPr>
        <w:pStyle w:val="Titre1"/>
      </w:pPr>
      <w:r w:rsidRPr="00FA0E3A">
        <w:t>18. Sigles et mots-clés</w:t>
      </w:r>
    </w:p>
    <w:tbl>
      <w:tblPr>
        <w:tblStyle w:val="Grilledutableau"/>
        <w:tblW w:w="0" w:type="auto"/>
        <w:tblLook w:val="04A0" w:firstRow="1" w:lastRow="0" w:firstColumn="1" w:lastColumn="0" w:noHBand="0" w:noVBand="1"/>
      </w:tblPr>
      <w:tblGrid>
        <w:gridCol w:w="2522"/>
        <w:gridCol w:w="7934"/>
      </w:tblGrid>
      <w:tr w:rsidR="00FA0E3A" w:rsidRPr="00275A92" w14:paraId="62368042" w14:textId="77777777" w:rsidTr="00275A92">
        <w:trPr>
          <w:tblHeader/>
        </w:trPr>
        <w:tc>
          <w:tcPr>
            <w:tcW w:w="0" w:type="auto"/>
            <w:hideMark/>
          </w:tcPr>
          <w:p w14:paraId="2E8EDC27"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Sigle / notion</w:t>
            </w:r>
          </w:p>
        </w:tc>
        <w:tc>
          <w:tcPr>
            <w:tcW w:w="0" w:type="auto"/>
            <w:hideMark/>
          </w:tcPr>
          <w:p w14:paraId="39A0A068" w14:textId="77777777" w:rsidR="00FA0E3A" w:rsidRPr="00275A92" w:rsidRDefault="00FA0E3A" w:rsidP="00275A92">
            <w:pPr>
              <w:jc w:val="left"/>
              <w:rPr>
                <w:rFonts w:ascii="Calibri" w:hAnsi="Calibri" w:cs="Calibri"/>
                <w:b/>
                <w:bCs/>
                <w:sz w:val="20"/>
              </w:rPr>
            </w:pPr>
            <w:r w:rsidRPr="00275A92">
              <w:rPr>
                <w:rFonts w:ascii="Calibri" w:hAnsi="Calibri" w:cs="Calibri"/>
                <w:b/>
                <w:bCs/>
                <w:sz w:val="20"/>
              </w:rPr>
              <w:t>Signification</w:t>
            </w:r>
          </w:p>
        </w:tc>
      </w:tr>
      <w:tr w:rsidR="00FA0E3A" w:rsidRPr="00275A92" w14:paraId="11630824" w14:textId="77777777" w:rsidTr="00275A92">
        <w:tc>
          <w:tcPr>
            <w:tcW w:w="0" w:type="auto"/>
            <w:hideMark/>
          </w:tcPr>
          <w:p w14:paraId="5FE352F2" w14:textId="77777777" w:rsidR="00FA0E3A" w:rsidRPr="00275A92" w:rsidRDefault="00FA0E3A" w:rsidP="00275A92">
            <w:pPr>
              <w:jc w:val="left"/>
              <w:rPr>
                <w:rFonts w:ascii="Calibri" w:hAnsi="Calibri" w:cs="Calibri"/>
                <w:sz w:val="20"/>
              </w:rPr>
            </w:pPr>
            <w:r w:rsidRPr="00275A92">
              <w:rPr>
                <w:rFonts w:ascii="Calibri" w:hAnsi="Calibri" w:cs="Calibri"/>
                <w:b/>
                <w:bCs/>
                <w:sz w:val="20"/>
              </w:rPr>
              <w:t>DDHC</w:t>
            </w:r>
          </w:p>
        </w:tc>
        <w:tc>
          <w:tcPr>
            <w:tcW w:w="0" w:type="auto"/>
            <w:hideMark/>
          </w:tcPr>
          <w:p w14:paraId="2EF1E821" w14:textId="77777777" w:rsidR="00FA0E3A" w:rsidRPr="00275A92" w:rsidRDefault="00FA0E3A" w:rsidP="00275A92">
            <w:pPr>
              <w:jc w:val="left"/>
              <w:rPr>
                <w:rFonts w:ascii="Calibri" w:hAnsi="Calibri" w:cs="Calibri"/>
                <w:sz w:val="20"/>
              </w:rPr>
            </w:pPr>
            <w:r w:rsidRPr="00275A92">
              <w:rPr>
                <w:rFonts w:ascii="Calibri" w:hAnsi="Calibri" w:cs="Calibri"/>
                <w:sz w:val="20"/>
              </w:rPr>
              <w:t>Déclaration des droits de l'homme et du citoyen</w:t>
            </w:r>
          </w:p>
        </w:tc>
      </w:tr>
      <w:tr w:rsidR="00FA0E3A" w:rsidRPr="00275A92" w14:paraId="59D55F1C" w14:textId="77777777" w:rsidTr="00275A92">
        <w:tc>
          <w:tcPr>
            <w:tcW w:w="0" w:type="auto"/>
            <w:hideMark/>
          </w:tcPr>
          <w:p w14:paraId="1F3C11DD" w14:textId="77777777" w:rsidR="00FA0E3A" w:rsidRPr="00275A92" w:rsidRDefault="00FA0E3A" w:rsidP="00275A92">
            <w:pPr>
              <w:jc w:val="left"/>
              <w:rPr>
                <w:rFonts w:ascii="Calibri" w:hAnsi="Calibri" w:cs="Calibri"/>
                <w:sz w:val="20"/>
              </w:rPr>
            </w:pPr>
            <w:r w:rsidRPr="00275A92">
              <w:rPr>
                <w:rFonts w:ascii="Calibri" w:hAnsi="Calibri" w:cs="Calibri"/>
                <w:b/>
                <w:bCs/>
                <w:sz w:val="20"/>
              </w:rPr>
              <w:t>UE</w:t>
            </w:r>
          </w:p>
        </w:tc>
        <w:tc>
          <w:tcPr>
            <w:tcW w:w="0" w:type="auto"/>
            <w:hideMark/>
          </w:tcPr>
          <w:p w14:paraId="5E861B62" w14:textId="77777777" w:rsidR="00FA0E3A" w:rsidRPr="00275A92" w:rsidRDefault="00FA0E3A" w:rsidP="00275A92">
            <w:pPr>
              <w:jc w:val="left"/>
              <w:rPr>
                <w:rFonts w:ascii="Calibri" w:hAnsi="Calibri" w:cs="Calibri"/>
                <w:sz w:val="20"/>
              </w:rPr>
            </w:pPr>
            <w:r w:rsidRPr="00275A92">
              <w:rPr>
                <w:rFonts w:ascii="Calibri" w:hAnsi="Calibri" w:cs="Calibri"/>
                <w:sz w:val="20"/>
              </w:rPr>
              <w:t>Union européenne</w:t>
            </w:r>
          </w:p>
        </w:tc>
      </w:tr>
      <w:tr w:rsidR="00FA0E3A" w:rsidRPr="00275A92" w14:paraId="1B1B1FDB" w14:textId="77777777" w:rsidTr="00275A92">
        <w:tc>
          <w:tcPr>
            <w:tcW w:w="0" w:type="auto"/>
            <w:hideMark/>
          </w:tcPr>
          <w:p w14:paraId="69AE8D36" w14:textId="77777777" w:rsidR="00FA0E3A" w:rsidRPr="00275A92" w:rsidRDefault="00FA0E3A" w:rsidP="00275A92">
            <w:pPr>
              <w:jc w:val="left"/>
              <w:rPr>
                <w:rFonts w:ascii="Calibri" w:hAnsi="Calibri" w:cs="Calibri"/>
                <w:sz w:val="20"/>
              </w:rPr>
            </w:pPr>
            <w:r w:rsidRPr="00275A92">
              <w:rPr>
                <w:rFonts w:ascii="Calibri" w:hAnsi="Calibri" w:cs="Calibri"/>
                <w:b/>
                <w:bCs/>
                <w:sz w:val="20"/>
              </w:rPr>
              <w:t>TUE</w:t>
            </w:r>
          </w:p>
        </w:tc>
        <w:tc>
          <w:tcPr>
            <w:tcW w:w="0" w:type="auto"/>
            <w:hideMark/>
          </w:tcPr>
          <w:p w14:paraId="686C3ADD" w14:textId="77777777" w:rsidR="00FA0E3A" w:rsidRPr="00275A92" w:rsidRDefault="00FA0E3A" w:rsidP="00275A92">
            <w:pPr>
              <w:jc w:val="left"/>
              <w:rPr>
                <w:rFonts w:ascii="Calibri" w:hAnsi="Calibri" w:cs="Calibri"/>
                <w:sz w:val="20"/>
              </w:rPr>
            </w:pPr>
            <w:r w:rsidRPr="00275A92">
              <w:rPr>
                <w:rFonts w:ascii="Calibri" w:hAnsi="Calibri" w:cs="Calibri"/>
                <w:sz w:val="20"/>
              </w:rPr>
              <w:t>Traité sur l'Union européenne</w:t>
            </w:r>
          </w:p>
        </w:tc>
      </w:tr>
      <w:tr w:rsidR="00FA0E3A" w:rsidRPr="00275A92" w14:paraId="1270491B" w14:textId="77777777" w:rsidTr="00275A92">
        <w:tc>
          <w:tcPr>
            <w:tcW w:w="0" w:type="auto"/>
            <w:hideMark/>
          </w:tcPr>
          <w:p w14:paraId="7AA1D9CA" w14:textId="77777777" w:rsidR="00FA0E3A" w:rsidRPr="00275A92" w:rsidRDefault="00FA0E3A" w:rsidP="00275A92">
            <w:pPr>
              <w:jc w:val="left"/>
              <w:rPr>
                <w:rFonts w:ascii="Calibri" w:hAnsi="Calibri" w:cs="Calibri"/>
                <w:sz w:val="20"/>
              </w:rPr>
            </w:pPr>
            <w:r w:rsidRPr="00275A92">
              <w:rPr>
                <w:rFonts w:ascii="Calibri" w:hAnsi="Calibri" w:cs="Calibri"/>
                <w:b/>
                <w:bCs/>
                <w:sz w:val="20"/>
              </w:rPr>
              <w:t>TFUE</w:t>
            </w:r>
          </w:p>
        </w:tc>
        <w:tc>
          <w:tcPr>
            <w:tcW w:w="0" w:type="auto"/>
            <w:hideMark/>
          </w:tcPr>
          <w:p w14:paraId="2E2D144B" w14:textId="77777777" w:rsidR="00FA0E3A" w:rsidRPr="00275A92" w:rsidRDefault="00FA0E3A" w:rsidP="00275A92">
            <w:pPr>
              <w:jc w:val="left"/>
              <w:rPr>
                <w:rFonts w:ascii="Calibri" w:hAnsi="Calibri" w:cs="Calibri"/>
                <w:sz w:val="20"/>
              </w:rPr>
            </w:pPr>
            <w:r w:rsidRPr="00275A92">
              <w:rPr>
                <w:rFonts w:ascii="Calibri" w:hAnsi="Calibri" w:cs="Calibri"/>
                <w:sz w:val="20"/>
              </w:rPr>
              <w:t>Traité sur le fonctionnement de l'Union européenne</w:t>
            </w:r>
          </w:p>
        </w:tc>
      </w:tr>
      <w:tr w:rsidR="00FA0E3A" w:rsidRPr="00275A92" w14:paraId="7D1F0270" w14:textId="77777777" w:rsidTr="00275A92">
        <w:tc>
          <w:tcPr>
            <w:tcW w:w="0" w:type="auto"/>
            <w:hideMark/>
          </w:tcPr>
          <w:p w14:paraId="78B14BB3" w14:textId="77777777" w:rsidR="00FA0E3A" w:rsidRPr="00275A92" w:rsidRDefault="00FA0E3A" w:rsidP="00275A92">
            <w:pPr>
              <w:jc w:val="left"/>
              <w:rPr>
                <w:rFonts w:ascii="Calibri" w:hAnsi="Calibri" w:cs="Calibri"/>
                <w:sz w:val="20"/>
              </w:rPr>
            </w:pPr>
            <w:r w:rsidRPr="00275A92">
              <w:rPr>
                <w:rFonts w:ascii="Calibri" w:hAnsi="Calibri" w:cs="Calibri"/>
                <w:b/>
                <w:bCs/>
                <w:sz w:val="20"/>
              </w:rPr>
              <w:t>CJUE</w:t>
            </w:r>
          </w:p>
        </w:tc>
        <w:tc>
          <w:tcPr>
            <w:tcW w:w="0" w:type="auto"/>
            <w:hideMark/>
          </w:tcPr>
          <w:p w14:paraId="44B20963" w14:textId="77777777" w:rsidR="00FA0E3A" w:rsidRPr="00275A92" w:rsidRDefault="00FA0E3A" w:rsidP="00275A92">
            <w:pPr>
              <w:jc w:val="left"/>
              <w:rPr>
                <w:rFonts w:ascii="Calibri" w:hAnsi="Calibri" w:cs="Calibri"/>
                <w:sz w:val="20"/>
              </w:rPr>
            </w:pPr>
            <w:r w:rsidRPr="00275A92">
              <w:rPr>
                <w:rFonts w:ascii="Calibri" w:hAnsi="Calibri" w:cs="Calibri"/>
                <w:sz w:val="20"/>
              </w:rPr>
              <w:t>Cour de justice de l'Union européenne</w:t>
            </w:r>
          </w:p>
        </w:tc>
      </w:tr>
      <w:tr w:rsidR="00FA0E3A" w:rsidRPr="00275A92" w14:paraId="3D13F887" w14:textId="77777777" w:rsidTr="00275A92">
        <w:tc>
          <w:tcPr>
            <w:tcW w:w="0" w:type="auto"/>
            <w:hideMark/>
          </w:tcPr>
          <w:p w14:paraId="29AD7CF9" w14:textId="77777777" w:rsidR="00FA0E3A" w:rsidRPr="00275A92" w:rsidRDefault="00FA0E3A" w:rsidP="00275A92">
            <w:pPr>
              <w:jc w:val="left"/>
              <w:rPr>
                <w:rFonts w:ascii="Calibri" w:hAnsi="Calibri" w:cs="Calibri"/>
                <w:sz w:val="20"/>
              </w:rPr>
            </w:pPr>
            <w:r w:rsidRPr="00275A92">
              <w:rPr>
                <w:rFonts w:ascii="Calibri" w:hAnsi="Calibri" w:cs="Calibri"/>
                <w:b/>
                <w:bCs/>
                <w:sz w:val="20"/>
              </w:rPr>
              <w:t>QPC</w:t>
            </w:r>
          </w:p>
        </w:tc>
        <w:tc>
          <w:tcPr>
            <w:tcW w:w="0" w:type="auto"/>
            <w:hideMark/>
          </w:tcPr>
          <w:p w14:paraId="7FA020B7" w14:textId="77777777" w:rsidR="00FA0E3A" w:rsidRPr="00275A92" w:rsidRDefault="00FA0E3A" w:rsidP="00275A92">
            <w:pPr>
              <w:jc w:val="left"/>
              <w:rPr>
                <w:rFonts w:ascii="Calibri" w:hAnsi="Calibri" w:cs="Calibri"/>
                <w:sz w:val="20"/>
              </w:rPr>
            </w:pPr>
            <w:r w:rsidRPr="00275A92">
              <w:rPr>
                <w:rFonts w:ascii="Calibri" w:hAnsi="Calibri" w:cs="Calibri"/>
                <w:sz w:val="20"/>
              </w:rPr>
              <w:t>Question prioritaire de constitutionnalité</w:t>
            </w:r>
          </w:p>
        </w:tc>
      </w:tr>
      <w:tr w:rsidR="00FA0E3A" w:rsidRPr="00275A92" w14:paraId="3F13C041" w14:textId="77777777" w:rsidTr="00275A92">
        <w:tc>
          <w:tcPr>
            <w:tcW w:w="0" w:type="auto"/>
            <w:hideMark/>
          </w:tcPr>
          <w:p w14:paraId="42322A2F" w14:textId="77777777" w:rsidR="00FA0E3A" w:rsidRPr="00275A92" w:rsidRDefault="00FA0E3A" w:rsidP="00275A92">
            <w:pPr>
              <w:jc w:val="left"/>
              <w:rPr>
                <w:rFonts w:ascii="Calibri" w:hAnsi="Calibri" w:cs="Calibri"/>
                <w:sz w:val="20"/>
              </w:rPr>
            </w:pPr>
            <w:r w:rsidRPr="00275A92">
              <w:rPr>
                <w:rFonts w:ascii="Calibri" w:hAnsi="Calibri" w:cs="Calibri"/>
                <w:b/>
                <w:bCs/>
                <w:sz w:val="20"/>
              </w:rPr>
              <w:t>JORF</w:t>
            </w:r>
          </w:p>
        </w:tc>
        <w:tc>
          <w:tcPr>
            <w:tcW w:w="0" w:type="auto"/>
            <w:hideMark/>
          </w:tcPr>
          <w:p w14:paraId="1989306F" w14:textId="77777777" w:rsidR="00FA0E3A" w:rsidRPr="00275A92" w:rsidRDefault="00FA0E3A" w:rsidP="00275A92">
            <w:pPr>
              <w:jc w:val="left"/>
              <w:rPr>
                <w:rFonts w:ascii="Calibri" w:hAnsi="Calibri" w:cs="Calibri"/>
                <w:sz w:val="20"/>
              </w:rPr>
            </w:pPr>
            <w:r w:rsidRPr="00275A92">
              <w:rPr>
                <w:rFonts w:ascii="Calibri" w:hAnsi="Calibri" w:cs="Calibri"/>
                <w:sz w:val="20"/>
              </w:rPr>
              <w:t>Journal officiel de la République française</w:t>
            </w:r>
          </w:p>
        </w:tc>
      </w:tr>
      <w:tr w:rsidR="00FA0E3A" w:rsidRPr="00275A92" w14:paraId="340011AD" w14:textId="77777777" w:rsidTr="00275A92">
        <w:tc>
          <w:tcPr>
            <w:tcW w:w="0" w:type="auto"/>
            <w:hideMark/>
          </w:tcPr>
          <w:p w14:paraId="73C364B6" w14:textId="77777777" w:rsidR="00FA0E3A" w:rsidRPr="00275A92" w:rsidRDefault="00FA0E3A" w:rsidP="00275A92">
            <w:pPr>
              <w:jc w:val="left"/>
              <w:rPr>
                <w:rFonts w:ascii="Calibri" w:hAnsi="Calibri" w:cs="Calibri"/>
                <w:sz w:val="20"/>
              </w:rPr>
            </w:pPr>
            <w:r w:rsidRPr="00275A92">
              <w:rPr>
                <w:rFonts w:ascii="Calibri" w:hAnsi="Calibri" w:cs="Calibri"/>
                <w:b/>
                <w:bCs/>
                <w:sz w:val="20"/>
              </w:rPr>
              <w:t>RGPD</w:t>
            </w:r>
          </w:p>
        </w:tc>
        <w:tc>
          <w:tcPr>
            <w:tcW w:w="0" w:type="auto"/>
            <w:hideMark/>
          </w:tcPr>
          <w:p w14:paraId="29FB97EC" w14:textId="77777777" w:rsidR="00FA0E3A" w:rsidRPr="00275A92" w:rsidRDefault="00FA0E3A" w:rsidP="00275A92">
            <w:pPr>
              <w:jc w:val="left"/>
              <w:rPr>
                <w:rFonts w:ascii="Calibri" w:hAnsi="Calibri" w:cs="Calibri"/>
                <w:sz w:val="20"/>
              </w:rPr>
            </w:pPr>
            <w:r w:rsidRPr="00275A92">
              <w:rPr>
                <w:rFonts w:ascii="Calibri" w:hAnsi="Calibri" w:cs="Calibri"/>
                <w:sz w:val="20"/>
              </w:rPr>
              <w:t>Règlement général sur la protection des données</w:t>
            </w:r>
          </w:p>
        </w:tc>
      </w:tr>
      <w:tr w:rsidR="00FA0E3A" w:rsidRPr="00275A92" w14:paraId="7445AE0A" w14:textId="77777777" w:rsidTr="00275A92">
        <w:tc>
          <w:tcPr>
            <w:tcW w:w="0" w:type="auto"/>
            <w:hideMark/>
          </w:tcPr>
          <w:p w14:paraId="01B2E4A1" w14:textId="77777777" w:rsidR="00FA0E3A" w:rsidRPr="00275A92" w:rsidRDefault="00FA0E3A" w:rsidP="00275A92">
            <w:pPr>
              <w:jc w:val="left"/>
              <w:rPr>
                <w:rFonts w:ascii="Calibri" w:hAnsi="Calibri" w:cs="Calibri"/>
                <w:sz w:val="20"/>
              </w:rPr>
            </w:pPr>
            <w:r w:rsidRPr="00275A92">
              <w:rPr>
                <w:rFonts w:ascii="Calibri" w:hAnsi="Calibri" w:cs="Calibri"/>
                <w:b/>
                <w:bCs/>
                <w:sz w:val="20"/>
              </w:rPr>
              <w:t>Bloc de constitutionnalité</w:t>
            </w:r>
          </w:p>
        </w:tc>
        <w:tc>
          <w:tcPr>
            <w:tcW w:w="0" w:type="auto"/>
            <w:hideMark/>
          </w:tcPr>
          <w:p w14:paraId="46F9B29B" w14:textId="77777777" w:rsidR="00FA0E3A" w:rsidRPr="00275A92" w:rsidRDefault="00FA0E3A" w:rsidP="00275A92">
            <w:pPr>
              <w:jc w:val="left"/>
              <w:rPr>
                <w:rFonts w:ascii="Calibri" w:hAnsi="Calibri" w:cs="Calibri"/>
                <w:sz w:val="20"/>
              </w:rPr>
            </w:pPr>
            <w:r w:rsidRPr="00275A92">
              <w:rPr>
                <w:rFonts w:ascii="Calibri" w:hAnsi="Calibri" w:cs="Calibri"/>
                <w:sz w:val="20"/>
              </w:rPr>
              <w:t>Ensemble des normes de référence utilisées pour contrôler la constitutionnalité des lois</w:t>
            </w:r>
          </w:p>
        </w:tc>
      </w:tr>
      <w:tr w:rsidR="00FA0E3A" w:rsidRPr="00275A92" w14:paraId="12C902ED" w14:textId="77777777" w:rsidTr="00275A92">
        <w:tc>
          <w:tcPr>
            <w:tcW w:w="0" w:type="auto"/>
            <w:hideMark/>
          </w:tcPr>
          <w:p w14:paraId="30329C49" w14:textId="77777777" w:rsidR="00FA0E3A" w:rsidRPr="00275A92" w:rsidRDefault="00FA0E3A" w:rsidP="00275A92">
            <w:pPr>
              <w:jc w:val="left"/>
              <w:rPr>
                <w:rFonts w:ascii="Calibri" w:hAnsi="Calibri" w:cs="Calibri"/>
                <w:sz w:val="20"/>
              </w:rPr>
            </w:pPr>
            <w:r w:rsidRPr="00275A92">
              <w:rPr>
                <w:rFonts w:ascii="Calibri" w:hAnsi="Calibri" w:cs="Calibri"/>
                <w:b/>
                <w:bCs/>
                <w:sz w:val="20"/>
              </w:rPr>
              <w:t>Contrôle de constitutionnalité</w:t>
            </w:r>
          </w:p>
        </w:tc>
        <w:tc>
          <w:tcPr>
            <w:tcW w:w="0" w:type="auto"/>
            <w:hideMark/>
          </w:tcPr>
          <w:p w14:paraId="20A270AB" w14:textId="77777777" w:rsidR="00FA0E3A" w:rsidRPr="00275A92" w:rsidRDefault="00FA0E3A" w:rsidP="00275A92">
            <w:pPr>
              <w:jc w:val="left"/>
              <w:rPr>
                <w:rFonts w:ascii="Calibri" w:hAnsi="Calibri" w:cs="Calibri"/>
                <w:sz w:val="20"/>
              </w:rPr>
            </w:pPr>
            <w:r w:rsidRPr="00275A92">
              <w:rPr>
                <w:rFonts w:ascii="Calibri" w:hAnsi="Calibri" w:cs="Calibri"/>
                <w:sz w:val="20"/>
              </w:rPr>
              <w:t>Vérification de la conformité d'une norme à la Constitution</w:t>
            </w:r>
          </w:p>
        </w:tc>
      </w:tr>
      <w:tr w:rsidR="00FA0E3A" w:rsidRPr="00275A92" w14:paraId="445603C3" w14:textId="77777777" w:rsidTr="00275A92">
        <w:tc>
          <w:tcPr>
            <w:tcW w:w="0" w:type="auto"/>
            <w:hideMark/>
          </w:tcPr>
          <w:p w14:paraId="4481F76B" w14:textId="77777777" w:rsidR="00FA0E3A" w:rsidRPr="00275A92" w:rsidRDefault="00FA0E3A" w:rsidP="00275A92">
            <w:pPr>
              <w:jc w:val="left"/>
              <w:rPr>
                <w:rFonts w:ascii="Calibri" w:hAnsi="Calibri" w:cs="Calibri"/>
                <w:sz w:val="20"/>
              </w:rPr>
            </w:pPr>
            <w:r w:rsidRPr="00275A92">
              <w:rPr>
                <w:rFonts w:ascii="Calibri" w:hAnsi="Calibri" w:cs="Calibri"/>
                <w:b/>
                <w:bCs/>
                <w:sz w:val="20"/>
              </w:rPr>
              <w:t>Contrôle de conventionnalité</w:t>
            </w:r>
          </w:p>
        </w:tc>
        <w:tc>
          <w:tcPr>
            <w:tcW w:w="0" w:type="auto"/>
            <w:hideMark/>
          </w:tcPr>
          <w:p w14:paraId="48FD9BFD" w14:textId="77777777" w:rsidR="00FA0E3A" w:rsidRPr="00275A92" w:rsidRDefault="00FA0E3A" w:rsidP="00275A92">
            <w:pPr>
              <w:jc w:val="left"/>
              <w:rPr>
                <w:rFonts w:ascii="Calibri" w:hAnsi="Calibri" w:cs="Calibri"/>
                <w:sz w:val="20"/>
              </w:rPr>
            </w:pPr>
            <w:r w:rsidRPr="00275A92">
              <w:rPr>
                <w:rFonts w:ascii="Calibri" w:hAnsi="Calibri" w:cs="Calibri"/>
                <w:sz w:val="20"/>
              </w:rPr>
              <w:t>Vérification de la compatibilité d'une norme nationale avec une norme internationale ou européenne applicable</w:t>
            </w:r>
          </w:p>
        </w:tc>
      </w:tr>
      <w:tr w:rsidR="00FA0E3A" w:rsidRPr="00275A92" w14:paraId="4B22F0CC" w14:textId="77777777" w:rsidTr="00275A92">
        <w:tc>
          <w:tcPr>
            <w:tcW w:w="0" w:type="auto"/>
            <w:hideMark/>
          </w:tcPr>
          <w:p w14:paraId="32DB3B4A" w14:textId="77777777" w:rsidR="00FA0E3A" w:rsidRPr="00275A92" w:rsidRDefault="00FA0E3A" w:rsidP="00275A92">
            <w:pPr>
              <w:jc w:val="left"/>
              <w:rPr>
                <w:rFonts w:ascii="Calibri" w:hAnsi="Calibri" w:cs="Calibri"/>
                <w:sz w:val="20"/>
              </w:rPr>
            </w:pPr>
            <w:r w:rsidRPr="00275A92">
              <w:rPr>
                <w:rFonts w:ascii="Calibri" w:hAnsi="Calibri" w:cs="Calibri"/>
                <w:b/>
                <w:bCs/>
                <w:sz w:val="20"/>
              </w:rPr>
              <w:t>Jurisprudence</w:t>
            </w:r>
          </w:p>
        </w:tc>
        <w:tc>
          <w:tcPr>
            <w:tcW w:w="0" w:type="auto"/>
            <w:hideMark/>
          </w:tcPr>
          <w:p w14:paraId="1F7E4B7E" w14:textId="77777777" w:rsidR="00FA0E3A" w:rsidRPr="00275A92" w:rsidRDefault="00FA0E3A" w:rsidP="00275A92">
            <w:pPr>
              <w:jc w:val="left"/>
              <w:rPr>
                <w:rFonts w:ascii="Calibri" w:hAnsi="Calibri" w:cs="Calibri"/>
                <w:sz w:val="20"/>
              </w:rPr>
            </w:pPr>
            <w:r w:rsidRPr="00275A92">
              <w:rPr>
                <w:rFonts w:ascii="Calibri" w:hAnsi="Calibri" w:cs="Calibri"/>
                <w:sz w:val="20"/>
              </w:rPr>
              <w:t>Décisions des juridictions et solutions juridiques qui s'en dégagent</w:t>
            </w:r>
          </w:p>
        </w:tc>
      </w:tr>
      <w:tr w:rsidR="00FA0E3A" w:rsidRPr="00275A92" w14:paraId="5D00BE1A" w14:textId="77777777" w:rsidTr="00275A92">
        <w:tc>
          <w:tcPr>
            <w:tcW w:w="0" w:type="auto"/>
            <w:hideMark/>
          </w:tcPr>
          <w:p w14:paraId="167C9BA7" w14:textId="77777777" w:rsidR="00FA0E3A" w:rsidRPr="00275A92" w:rsidRDefault="00FA0E3A" w:rsidP="00275A92">
            <w:pPr>
              <w:jc w:val="left"/>
              <w:rPr>
                <w:rFonts w:ascii="Calibri" w:hAnsi="Calibri" w:cs="Calibri"/>
                <w:sz w:val="20"/>
              </w:rPr>
            </w:pPr>
            <w:r w:rsidRPr="00275A92">
              <w:rPr>
                <w:rFonts w:ascii="Calibri" w:hAnsi="Calibri" w:cs="Calibri"/>
                <w:b/>
                <w:bCs/>
                <w:sz w:val="20"/>
              </w:rPr>
              <w:t>Doctrine</w:t>
            </w:r>
          </w:p>
        </w:tc>
        <w:tc>
          <w:tcPr>
            <w:tcW w:w="0" w:type="auto"/>
            <w:hideMark/>
          </w:tcPr>
          <w:p w14:paraId="456C0B77" w14:textId="77777777" w:rsidR="00FA0E3A" w:rsidRPr="00275A92" w:rsidRDefault="00FA0E3A" w:rsidP="00275A92">
            <w:pPr>
              <w:jc w:val="left"/>
              <w:rPr>
                <w:rFonts w:ascii="Calibri" w:hAnsi="Calibri" w:cs="Calibri"/>
                <w:sz w:val="20"/>
              </w:rPr>
            </w:pPr>
            <w:r w:rsidRPr="00275A92">
              <w:rPr>
                <w:rFonts w:ascii="Calibri" w:hAnsi="Calibri" w:cs="Calibri"/>
                <w:sz w:val="20"/>
              </w:rPr>
              <w:t>Analyses du droit réalisées notamment par les universitaires et praticiens</w:t>
            </w:r>
          </w:p>
        </w:tc>
      </w:tr>
    </w:tbl>
    <w:p w14:paraId="0089DE8A" w14:textId="77777777" w:rsidR="00FA0E3A" w:rsidRPr="00FA0E3A" w:rsidRDefault="00000000" w:rsidP="00275A92">
      <w:pPr>
        <w:spacing w:after="0" w:line="240" w:lineRule="auto"/>
      </w:pPr>
      <w:r>
        <w:pict w14:anchorId="78145AFE">
          <v:rect id="_x0000_i1045" style="width:0;height:1.5pt" o:hralign="center" o:hrstd="t" o:hr="t" fillcolor="#a0a0a0" stroked="f"/>
        </w:pict>
      </w:r>
    </w:p>
    <w:p w14:paraId="442B079C" w14:textId="77777777" w:rsidR="00FA0E3A" w:rsidRPr="00FA0E3A" w:rsidRDefault="00FA0E3A" w:rsidP="00275A92">
      <w:pPr>
        <w:spacing w:after="0" w:line="240" w:lineRule="auto"/>
        <w:rPr>
          <w:b/>
          <w:bCs/>
        </w:rPr>
      </w:pPr>
      <w:r w:rsidRPr="00FA0E3A">
        <w:rPr>
          <w:b/>
          <w:bCs/>
        </w:rPr>
        <w:t>Sources officielles</w:t>
      </w:r>
    </w:p>
    <w:p w14:paraId="3C826418" w14:textId="77777777" w:rsidR="00FA0E3A" w:rsidRDefault="00FA0E3A" w:rsidP="00275A92">
      <w:pPr>
        <w:spacing w:after="0" w:line="240" w:lineRule="auto"/>
      </w:pPr>
      <w:r w:rsidRPr="00FA0E3A">
        <w:rPr>
          <w:b/>
          <w:bCs/>
        </w:rPr>
        <w:t xml:space="preserve">Constitution du 4 octobre 1958 </w:t>
      </w:r>
      <w:r>
        <w:rPr>
          <w:b/>
          <w:bCs/>
        </w:rPr>
        <w:t>-</w:t>
      </w:r>
      <w:r w:rsidRPr="00FA0E3A">
        <w:rPr>
          <w:b/>
          <w:bCs/>
        </w:rPr>
        <w:t xml:space="preserve"> Légifrance</w:t>
      </w:r>
    </w:p>
    <w:p w14:paraId="41CFBD58" w14:textId="780A4192" w:rsidR="00FA0E3A" w:rsidRPr="00FA0E3A" w:rsidRDefault="00FA0E3A" w:rsidP="00275A92">
      <w:pPr>
        <w:spacing w:after="0" w:line="240" w:lineRule="auto"/>
      </w:pPr>
      <w:hyperlink r:id="rId7" w:history="1">
        <w:r w:rsidRPr="00FA0E3A">
          <w:rPr>
            <w:rStyle w:val="Lienhypertexte"/>
          </w:rPr>
          <w:t>https://www.legifrance.gouv.fr/loda/id/JORFTEXT000000571356/</w:t>
        </w:r>
      </w:hyperlink>
    </w:p>
    <w:p w14:paraId="3FC6D574" w14:textId="77777777" w:rsidR="00FA0E3A" w:rsidRDefault="00FA0E3A" w:rsidP="00275A92">
      <w:pPr>
        <w:spacing w:after="0" w:line="240" w:lineRule="auto"/>
      </w:pPr>
      <w:r w:rsidRPr="00FA0E3A">
        <w:rPr>
          <w:b/>
          <w:bCs/>
        </w:rPr>
        <w:t xml:space="preserve">Article 34 de la Constitution </w:t>
      </w:r>
      <w:r>
        <w:rPr>
          <w:b/>
          <w:bCs/>
        </w:rPr>
        <w:t>-</w:t>
      </w:r>
      <w:r w:rsidRPr="00FA0E3A">
        <w:rPr>
          <w:b/>
          <w:bCs/>
        </w:rPr>
        <w:t xml:space="preserve"> domaine de la loi</w:t>
      </w:r>
    </w:p>
    <w:p w14:paraId="599FBDD2" w14:textId="7146AF7A" w:rsidR="00FA0E3A" w:rsidRPr="00FA0E3A" w:rsidRDefault="00FA0E3A" w:rsidP="00275A92">
      <w:pPr>
        <w:spacing w:after="0" w:line="240" w:lineRule="auto"/>
      </w:pPr>
      <w:hyperlink r:id="rId8" w:history="1">
        <w:r w:rsidRPr="00FA0E3A">
          <w:rPr>
            <w:rStyle w:val="Lienhypertexte"/>
          </w:rPr>
          <w:t>https://www.legifrance.gouv.fr/loda/article_lc/LEGIARTI000049255019</w:t>
        </w:r>
      </w:hyperlink>
    </w:p>
    <w:p w14:paraId="3BC115AF" w14:textId="77777777" w:rsidR="00FA0E3A" w:rsidRDefault="00FA0E3A" w:rsidP="00275A92">
      <w:pPr>
        <w:spacing w:after="0" w:line="240" w:lineRule="auto"/>
      </w:pPr>
      <w:r w:rsidRPr="00FA0E3A">
        <w:rPr>
          <w:b/>
          <w:bCs/>
        </w:rPr>
        <w:t xml:space="preserve">Article 38 de la Constitution </w:t>
      </w:r>
      <w:r>
        <w:rPr>
          <w:b/>
          <w:bCs/>
        </w:rPr>
        <w:t>-</w:t>
      </w:r>
      <w:r w:rsidRPr="00FA0E3A">
        <w:rPr>
          <w:b/>
          <w:bCs/>
        </w:rPr>
        <w:t xml:space="preserve"> ordonnances</w:t>
      </w:r>
    </w:p>
    <w:p w14:paraId="60420DDC" w14:textId="49F79FFA" w:rsidR="00FA0E3A" w:rsidRPr="00FA0E3A" w:rsidRDefault="00FA0E3A" w:rsidP="00275A92">
      <w:pPr>
        <w:spacing w:after="0" w:line="240" w:lineRule="auto"/>
      </w:pPr>
      <w:hyperlink r:id="rId9" w:history="1">
        <w:r w:rsidRPr="00FA0E3A">
          <w:rPr>
            <w:rStyle w:val="Lienhypertexte"/>
          </w:rPr>
          <w:t>https://www.legifrance.gouv.fr/loda/article_lc/LEGIARTI000019241024</w:t>
        </w:r>
      </w:hyperlink>
    </w:p>
    <w:p w14:paraId="6574EC9C" w14:textId="77777777" w:rsidR="00FA0E3A" w:rsidRDefault="00FA0E3A" w:rsidP="00275A92">
      <w:pPr>
        <w:spacing w:after="0" w:line="240" w:lineRule="auto"/>
      </w:pPr>
      <w:r w:rsidRPr="00FA0E3A">
        <w:rPr>
          <w:b/>
          <w:bCs/>
        </w:rPr>
        <w:t xml:space="preserve">Article 54 de la Constitution </w:t>
      </w:r>
      <w:r>
        <w:rPr>
          <w:b/>
          <w:bCs/>
        </w:rPr>
        <w:t>-</w:t>
      </w:r>
      <w:r w:rsidRPr="00FA0E3A">
        <w:rPr>
          <w:b/>
          <w:bCs/>
        </w:rPr>
        <w:t xml:space="preserve"> engagements internationaux contraires à la Constitution</w:t>
      </w:r>
    </w:p>
    <w:p w14:paraId="611A9254" w14:textId="7969A892" w:rsidR="00FA0E3A" w:rsidRPr="00FA0E3A" w:rsidRDefault="00FA0E3A" w:rsidP="00275A92">
      <w:pPr>
        <w:spacing w:after="0" w:line="240" w:lineRule="auto"/>
      </w:pPr>
      <w:hyperlink r:id="rId10" w:history="1">
        <w:r w:rsidRPr="00FA0E3A">
          <w:rPr>
            <w:rStyle w:val="Lienhypertexte"/>
          </w:rPr>
          <w:t>https://www.legifrance.gouv.fr/loda/article_lc/LEGIARTI000006527540</w:t>
        </w:r>
      </w:hyperlink>
    </w:p>
    <w:p w14:paraId="6C7511A2" w14:textId="77777777" w:rsidR="00FA0E3A" w:rsidRDefault="00FA0E3A" w:rsidP="00275A92">
      <w:pPr>
        <w:spacing w:after="0" w:line="240" w:lineRule="auto"/>
      </w:pPr>
      <w:r w:rsidRPr="00FA0E3A">
        <w:rPr>
          <w:b/>
          <w:bCs/>
        </w:rPr>
        <w:t xml:space="preserve">Article 55 de la Constitution </w:t>
      </w:r>
      <w:r>
        <w:rPr>
          <w:b/>
          <w:bCs/>
        </w:rPr>
        <w:t>-</w:t>
      </w:r>
      <w:r w:rsidRPr="00FA0E3A">
        <w:rPr>
          <w:b/>
          <w:bCs/>
        </w:rPr>
        <w:t xml:space="preserve"> autorité des engagements internationaux</w:t>
      </w:r>
    </w:p>
    <w:p w14:paraId="536C7F73" w14:textId="51A61B60" w:rsidR="00FA0E3A" w:rsidRPr="00FA0E3A" w:rsidRDefault="00FA0E3A" w:rsidP="00275A92">
      <w:pPr>
        <w:spacing w:after="0" w:line="240" w:lineRule="auto"/>
      </w:pPr>
      <w:hyperlink r:id="rId11" w:history="1">
        <w:r w:rsidRPr="00FA0E3A">
          <w:rPr>
            <w:rStyle w:val="Lienhypertexte"/>
          </w:rPr>
          <w:t>https://www.legifrance.gouv.fr/codes/id/LEGISCTA000006095826</w:t>
        </w:r>
      </w:hyperlink>
    </w:p>
    <w:p w14:paraId="3FA487FF" w14:textId="77777777" w:rsidR="00FA0E3A" w:rsidRDefault="00FA0E3A" w:rsidP="00275A92">
      <w:pPr>
        <w:spacing w:after="0" w:line="240" w:lineRule="auto"/>
      </w:pPr>
      <w:r w:rsidRPr="00FA0E3A">
        <w:rPr>
          <w:b/>
          <w:bCs/>
        </w:rPr>
        <w:t xml:space="preserve">Articles 61 et 61-1 de la Constitution </w:t>
      </w:r>
      <w:r>
        <w:rPr>
          <w:b/>
          <w:bCs/>
        </w:rPr>
        <w:t>-</w:t>
      </w:r>
      <w:r w:rsidRPr="00FA0E3A">
        <w:rPr>
          <w:b/>
          <w:bCs/>
        </w:rPr>
        <w:t xml:space="preserve"> contrôle de constitutionnalité et QPC</w:t>
      </w:r>
    </w:p>
    <w:p w14:paraId="37E26024" w14:textId="77777777" w:rsidR="00FA0E3A" w:rsidRDefault="00FA0E3A" w:rsidP="00275A92">
      <w:pPr>
        <w:spacing w:after="0" w:line="240" w:lineRule="auto"/>
      </w:pPr>
      <w:hyperlink r:id="rId12" w:history="1">
        <w:r w:rsidRPr="00FA0E3A">
          <w:rPr>
            <w:rStyle w:val="Lienhypertexte"/>
          </w:rPr>
          <w:t>https://www.legifrance.gouv.fr/loda/article_lc/LEGIARTI000019241074</w:t>
        </w:r>
      </w:hyperlink>
    </w:p>
    <w:p w14:paraId="04623DF1" w14:textId="26020E11" w:rsidR="00FA0E3A" w:rsidRPr="00FA0E3A" w:rsidRDefault="00FA0E3A" w:rsidP="00275A92">
      <w:pPr>
        <w:spacing w:after="0" w:line="240" w:lineRule="auto"/>
      </w:pPr>
      <w:hyperlink r:id="rId13" w:history="1">
        <w:r w:rsidRPr="00FA0E3A">
          <w:rPr>
            <w:rStyle w:val="Lienhypertexte"/>
          </w:rPr>
          <w:t>https://www.legifrance.gouv.fr/loda/article_lc/LEGIARTI000019241077</w:t>
        </w:r>
      </w:hyperlink>
    </w:p>
    <w:p w14:paraId="48E100B0" w14:textId="77777777" w:rsidR="00FA0E3A" w:rsidRDefault="00FA0E3A" w:rsidP="00275A92">
      <w:pPr>
        <w:spacing w:after="0" w:line="240" w:lineRule="auto"/>
      </w:pPr>
      <w:r w:rsidRPr="00FA0E3A">
        <w:rPr>
          <w:b/>
          <w:bCs/>
        </w:rPr>
        <w:t xml:space="preserve">Conseil constitutionnel </w:t>
      </w:r>
      <w:r>
        <w:rPr>
          <w:b/>
          <w:bCs/>
        </w:rPr>
        <w:t>-</w:t>
      </w:r>
      <w:r w:rsidRPr="00FA0E3A">
        <w:rPr>
          <w:b/>
          <w:bCs/>
        </w:rPr>
        <w:t xml:space="preserve"> bloc de constitutionnalité</w:t>
      </w:r>
    </w:p>
    <w:p w14:paraId="47EEEDE3" w14:textId="028F273D" w:rsidR="00FA0E3A" w:rsidRPr="00FA0E3A" w:rsidRDefault="00FA0E3A" w:rsidP="00275A92">
      <w:pPr>
        <w:spacing w:after="0" w:line="240" w:lineRule="auto"/>
      </w:pPr>
      <w:hyperlink r:id="rId14" w:history="1">
        <w:r w:rsidRPr="00FA0E3A">
          <w:rPr>
            <w:rStyle w:val="Lienhypertexte"/>
          </w:rPr>
          <w:t>https://qpc360.conseil-constitutionnel.fr/bloc-constitutionnalite</w:t>
        </w:r>
      </w:hyperlink>
    </w:p>
    <w:p w14:paraId="20E84BB4" w14:textId="77777777" w:rsidR="00FA0E3A" w:rsidRDefault="00FA0E3A" w:rsidP="00275A92">
      <w:pPr>
        <w:spacing w:after="0" w:line="240" w:lineRule="auto"/>
      </w:pPr>
      <w:r w:rsidRPr="00FA0E3A">
        <w:rPr>
          <w:b/>
          <w:bCs/>
        </w:rPr>
        <w:t xml:space="preserve">Conseil constitutionnel </w:t>
      </w:r>
      <w:r>
        <w:rPr>
          <w:b/>
          <w:bCs/>
        </w:rPr>
        <w:t>-</w:t>
      </w:r>
      <w:r w:rsidRPr="00FA0E3A">
        <w:rPr>
          <w:b/>
          <w:bCs/>
        </w:rPr>
        <w:t xml:space="preserve"> QPC</w:t>
      </w:r>
    </w:p>
    <w:p w14:paraId="3429052B" w14:textId="7AE43C40" w:rsidR="00FA0E3A" w:rsidRPr="00FA0E3A" w:rsidRDefault="00FA0E3A" w:rsidP="00275A92">
      <w:pPr>
        <w:spacing w:after="0" w:line="240" w:lineRule="auto"/>
      </w:pPr>
      <w:hyperlink r:id="rId15" w:history="1">
        <w:r w:rsidRPr="00FA0E3A">
          <w:rPr>
            <w:rStyle w:val="Lienhypertexte"/>
          </w:rPr>
          <w:t>https://qpc360.conseil-constitutionnel.fr/question-prioritaire-constitutionnalite-qpc</w:t>
        </w:r>
      </w:hyperlink>
    </w:p>
    <w:p w14:paraId="2817E75B" w14:textId="77777777" w:rsidR="00FA0E3A" w:rsidRDefault="00FA0E3A" w:rsidP="00275A92">
      <w:pPr>
        <w:spacing w:after="0" w:line="240" w:lineRule="auto"/>
      </w:pPr>
      <w:r w:rsidRPr="00FA0E3A">
        <w:rPr>
          <w:b/>
          <w:bCs/>
        </w:rPr>
        <w:t xml:space="preserve">Assemblée nationale </w:t>
      </w:r>
      <w:r>
        <w:rPr>
          <w:b/>
          <w:bCs/>
        </w:rPr>
        <w:t>-</w:t>
      </w:r>
      <w:r w:rsidRPr="00FA0E3A">
        <w:rPr>
          <w:b/>
          <w:bCs/>
        </w:rPr>
        <w:t xml:space="preserve"> procédure législative</w:t>
      </w:r>
    </w:p>
    <w:p w14:paraId="24B80516" w14:textId="0AACF3F6" w:rsidR="00FA0E3A" w:rsidRPr="00FA0E3A" w:rsidRDefault="00FA0E3A" w:rsidP="00275A92">
      <w:pPr>
        <w:spacing w:after="0" w:line="240" w:lineRule="auto"/>
      </w:pPr>
      <w:hyperlink r:id="rId16" w:history="1">
        <w:r w:rsidRPr="00FA0E3A">
          <w:rPr>
            <w:rStyle w:val="Lienhypertexte"/>
          </w:rPr>
          <w:t>https://www.assemblee-nationale.fr/dyn/synthese/fonctionnement-assemblee-nationale/travail-legislatif/la-procedure-legislative</w:t>
        </w:r>
      </w:hyperlink>
    </w:p>
    <w:p w14:paraId="57FF1CD5" w14:textId="77777777" w:rsidR="00FA0E3A" w:rsidRDefault="00FA0E3A" w:rsidP="00275A92">
      <w:pPr>
        <w:spacing w:after="0" w:line="240" w:lineRule="auto"/>
      </w:pPr>
      <w:r w:rsidRPr="00FA0E3A">
        <w:rPr>
          <w:b/>
          <w:bCs/>
        </w:rPr>
        <w:t xml:space="preserve">Code civil, article 1 </w:t>
      </w:r>
      <w:r>
        <w:rPr>
          <w:b/>
          <w:bCs/>
        </w:rPr>
        <w:t>-</w:t>
      </w:r>
      <w:r w:rsidRPr="00FA0E3A">
        <w:rPr>
          <w:b/>
          <w:bCs/>
        </w:rPr>
        <w:t xml:space="preserve"> entrée en vigueur des textes</w:t>
      </w:r>
    </w:p>
    <w:p w14:paraId="42A7D4E4" w14:textId="3813505F" w:rsidR="00FA0E3A" w:rsidRPr="00FA0E3A" w:rsidRDefault="00FA0E3A" w:rsidP="00275A92">
      <w:pPr>
        <w:spacing w:after="0" w:line="240" w:lineRule="auto"/>
      </w:pPr>
      <w:hyperlink r:id="rId17" w:history="1">
        <w:r w:rsidRPr="00FA0E3A">
          <w:rPr>
            <w:rStyle w:val="Lienhypertexte"/>
          </w:rPr>
          <w:t>https://www.legifrance.gouv.fr/codes/article_lc/LEGIARTI000006419280</w:t>
        </w:r>
      </w:hyperlink>
    </w:p>
    <w:p w14:paraId="76B1936C" w14:textId="77777777" w:rsidR="00FA0E3A" w:rsidRDefault="00FA0E3A" w:rsidP="00275A92">
      <w:pPr>
        <w:spacing w:after="0" w:line="240" w:lineRule="auto"/>
      </w:pPr>
      <w:r w:rsidRPr="00FA0E3A">
        <w:rPr>
          <w:b/>
          <w:bCs/>
        </w:rPr>
        <w:t>Code civil, articles 4, 5 et 6</w:t>
      </w:r>
    </w:p>
    <w:p w14:paraId="3E8BBC21" w14:textId="77777777" w:rsidR="00FA0E3A" w:rsidRDefault="00FA0E3A" w:rsidP="00275A92">
      <w:pPr>
        <w:spacing w:after="0" w:line="240" w:lineRule="auto"/>
      </w:pPr>
      <w:hyperlink r:id="rId18" w:history="1">
        <w:r w:rsidRPr="00FA0E3A">
          <w:rPr>
            <w:rStyle w:val="Lienhypertexte"/>
          </w:rPr>
          <w:t>https://www.legifrance.gouv.fr/codes/article_lc/LEGIARTI000006419283</w:t>
        </w:r>
      </w:hyperlink>
    </w:p>
    <w:p w14:paraId="1D3C9DB8" w14:textId="77777777" w:rsidR="00FA0E3A" w:rsidRDefault="00FA0E3A" w:rsidP="00275A92">
      <w:pPr>
        <w:spacing w:after="0" w:line="240" w:lineRule="auto"/>
      </w:pPr>
      <w:hyperlink r:id="rId19" w:history="1">
        <w:r w:rsidRPr="00FA0E3A">
          <w:rPr>
            <w:rStyle w:val="Lienhypertexte"/>
          </w:rPr>
          <w:t>https://www.legifrance.gouv.fr/codes/article_lc/LEGIARTI000006419284</w:t>
        </w:r>
      </w:hyperlink>
    </w:p>
    <w:p w14:paraId="3B9EF5A3" w14:textId="11BD10DD" w:rsidR="00FA0E3A" w:rsidRPr="00FA0E3A" w:rsidRDefault="00FA0E3A" w:rsidP="00275A92">
      <w:pPr>
        <w:spacing w:after="0" w:line="240" w:lineRule="auto"/>
      </w:pPr>
      <w:hyperlink r:id="rId20" w:history="1">
        <w:r w:rsidRPr="00FA0E3A">
          <w:rPr>
            <w:rStyle w:val="Lienhypertexte"/>
          </w:rPr>
          <w:t>https://www.legifrance.gouv.fr/codes/article_lc/LEGIARTI000006419285</w:t>
        </w:r>
      </w:hyperlink>
    </w:p>
    <w:p w14:paraId="4A7F2FE2" w14:textId="77777777" w:rsidR="00FA0E3A" w:rsidRDefault="00FA0E3A" w:rsidP="00275A92">
      <w:pPr>
        <w:spacing w:after="0" w:line="240" w:lineRule="auto"/>
      </w:pPr>
      <w:r w:rsidRPr="00FA0E3A">
        <w:rPr>
          <w:b/>
          <w:bCs/>
        </w:rPr>
        <w:t xml:space="preserve">EUR-Lex </w:t>
      </w:r>
      <w:r>
        <w:rPr>
          <w:b/>
          <w:bCs/>
        </w:rPr>
        <w:t>-</w:t>
      </w:r>
      <w:r w:rsidRPr="00FA0E3A">
        <w:rPr>
          <w:b/>
          <w:bCs/>
        </w:rPr>
        <w:t xml:space="preserve"> article 288 du TFUE</w:t>
      </w:r>
    </w:p>
    <w:p w14:paraId="5C423AA4" w14:textId="397B4E7F" w:rsidR="00FA0E3A" w:rsidRPr="00FA0E3A" w:rsidRDefault="00FA0E3A" w:rsidP="00275A92">
      <w:pPr>
        <w:spacing w:after="0" w:line="240" w:lineRule="auto"/>
      </w:pPr>
      <w:hyperlink r:id="rId21" w:history="1">
        <w:r w:rsidRPr="00FA0E3A">
          <w:rPr>
            <w:rStyle w:val="Lienhypertexte"/>
          </w:rPr>
          <w:t>https://eur-lex.europa.eu/legal-content/FR/TXT/HTML/?uri=CELEX:12012E288</w:t>
        </w:r>
      </w:hyperlink>
    </w:p>
    <w:p w14:paraId="5FDC65F8" w14:textId="77777777" w:rsidR="00FA0E3A" w:rsidRDefault="00FA0E3A" w:rsidP="00275A92">
      <w:pPr>
        <w:spacing w:after="0" w:line="240" w:lineRule="auto"/>
      </w:pPr>
      <w:r w:rsidRPr="00FA0E3A">
        <w:rPr>
          <w:b/>
          <w:bCs/>
        </w:rPr>
        <w:t xml:space="preserve">EUR-Lex </w:t>
      </w:r>
      <w:r>
        <w:rPr>
          <w:b/>
          <w:bCs/>
        </w:rPr>
        <w:t>-</w:t>
      </w:r>
      <w:r w:rsidRPr="00FA0E3A">
        <w:rPr>
          <w:b/>
          <w:bCs/>
        </w:rPr>
        <w:t xml:space="preserve"> primauté du droit de l'Union européenne</w:t>
      </w:r>
    </w:p>
    <w:p w14:paraId="73D089E7" w14:textId="0C5CD176" w:rsidR="00FA0E3A" w:rsidRPr="00FA0E3A" w:rsidRDefault="00FA0E3A" w:rsidP="00275A92">
      <w:pPr>
        <w:spacing w:after="0" w:line="240" w:lineRule="auto"/>
      </w:pPr>
      <w:hyperlink r:id="rId22" w:history="1">
        <w:r w:rsidRPr="00FA0E3A">
          <w:rPr>
            <w:rStyle w:val="Lienhypertexte"/>
          </w:rPr>
          <w:t>https://eur-lex.europa.eu/FR/legal-content/glossary/primacy-of-eu-law-precedence-supremacy.html</w:t>
        </w:r>
      </w:hyperlink>
    </w:p>
    <w:p w14:paraId="421BBBF3" w14:textId="77777777" w:rsidR="00FA0E3A" w:rsidRDefault="00FA0E3A" w:rsidP="00275A92">
      <w:pPr>
        <w:spacing w:after="0" w:line="240" w:lineRule="auto"/>
      </w:pPr>
      <w:r w:rsidRPr="00FA0E3A">
        <w:rPr>
          <w:b/>
          <w:bCs/>
        </w:rPr>
        <w:t>Cour de cassation, chambre mixte, 24 mai 1975, Société des cafés Jacques Vabre, n° 73-13.556</w:t>
      </w:r>
    </w:p>
    <w:p w14:paraId="22476B71" w14:textId="2540CD96" w:rsidR="00FA0E3A" w:rsidRPr="00FA0E3A" w:rsidRDefault="00FA0E3A" w:rsidP="00275A92">
      <w:pPr>
        <w:spacing w:after="0" w:line="240" w:lineRule="auto"/>
      </w:pPr>
      <w:hyperlink r:id="rId23" w:history="1">
        <w:r w:rsidRPr="00FA0E3A">
          <w:rPr>
            <w:rStyle w:val="Lienhypertexte"/>
          </w:rPr>
          <w:t>https://www.legifrance.gouv.fr/juri/id/JURITEXT000006994625/</w:t>
        </w:r>
      </w:hyperlink>
    </w:p>
    <w:p w14:paraId="2FDB8EFB" w14:textId="77777777" w:rsidR="00FA0E3A" w:rsidRDefault="00FA0E3A" w:rsidP="00275A92">
      <w:pPr>
        <w:spacing w:after="0" w:line="240" w:lineRule="auto"/>
      </w:pPr>
      <w:r w:rsidRPr="00FA0E3A">
        <w:rPr>
          <w:b/>
          <w:bCs/>
        </w:rPr>
        <w:t>Conseil d'État, Assemblée, 20 octobre 1989, Nicolo, n° 108243</w:t>
      </w:r>
    </w:p>
    <w:p w14:paraId="28F17FBB" w14:textId="3D06258E" w:rsidR="00FA0E3A" w:rsidRPr="00FA0E3A" w:rsidRDefault="00FA0E3A" w:rsidP="00275A92">
      <w:pPr>
        <w:spacing w:after="0" w:line="240" w:lineRule="auto"/>
      </w:pPr>
      <w:hyperlink r:id="rId24" w:history="1">
        <w:r w:rsidRPr="00FA0E3A">
          <w:rPr>
            <w:rStyle w:val="Lienhypertexte"/>
          </w:rPr>
          <w:t>https://www.conseil-etat.fr/decisions-de-justice/jurisprudence/les-grandes-decisions-depuis-1873/conseil-d-etat-assemblee-20-octobre-1989-nicolo</w:t>
        </w:r>
      </w:hyperlink>
    </w:p>
    <w:p w14:paraId="1400F67D" w14:textId="77777777" w:rsidR="00FA0E3A" w:rsidRDefault="00FA0E3A" w:rsidP="00275A92">
      <w:pPr>
        <w:spacing w:after="0" w:line="240" w:lineRule="auto"/>
      </w:pPr>
      <w:r w:rsidRPr="00FA0E3A">
        <w:rPr>
          <w:b/>
          <w:bCs/>
        </w:rPr>
        <w:t>Conseil d'État, Assemblée, 30 octobre 1998, Sarran et Levacher, nos 200286 et 200287</w:t>
      </w:r>
    </w:p>
    <w:p w14:paraId="710D3BA6" w14:textId="123300C8" w:rsidR="000411E3" w:rsidRPr="000D6577" w:rsidRDefault="00FA0E3A" w:rsidP="00275A92">
      <w:pPr>
        <w:spacing w:after="0" w:line="240" w:lineRule="auto"/>
      </w:pPr>
      <w:hyperlink r:id="rId25" w:history="1">
        <w:r w:rsidRPr="00FA0E3A">
          <w:rPr>
            <w:rStyle w:val="Lienhypertexte"/>
          </w:rPr>
          <w:t>https://www.legifrance.gouv.fr/ceta/id/CETATEXT000008008495/</w:t>
        </w:r>
      </w:hyperlink>
    </w:p>
    <w:sectPr w:rsidR="000411E3" w:rsidRPr="000D6577" w:rsidSect="00275A92">
      <w:footerReference w:type="default" r:id="rId2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3BF6" w14:textId="77777777" w:rsidR="00CF3470" w:rsidRDefault="00CF3470" w:rsidP="00B870C7">
      <w:r>
        <w:separator/>
      </w:r>
    </w:p>
  </w:endnote>
  <w:endnote w:type="continuationSeparator" w:id="0">
    <w:p w14:paraId="4FB09407" w14:textId="77777777" w:rsidR="00CF3470" w:rsidRDefault="00CF3470"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4B542" w14:textId="77777777" w:rsidR="00CF3470" w:rsidRDefault="00CF3470" w:rsidP="00B870C7">
      <w:r>
        <w:separator/>
      </w:r>
    </w:p>
  </w:footnote>
  <w:footnote w:type="continuationSeparator" w:id="0">
    <w:p w14:paraId="20A1DF71" w14:textId="77777777" w:rsidR="00CF3470" w:rsidRDefault="00CF3470"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EDF"/>
    <w:multiLevelType w:val="multilevel"/>
    <w:tmpl w:val="A9CE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A29DA"/>
    <w:multiLevelType w:val="multilevel"/>
    <w:tmpl w:val="8980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367C3"/>
    <w:multiLevelType w:val="multilevel"/>
    <w:tmpl w:val="062E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72E28"/>
    <w:multiLevelType w:val="multilevel"/>
    <w:tmpl w:val="FC78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67F5F"/>
    <w:multiLevelType w:val="multilevel"/>
    <w:tmpl w:val="6D9C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E7527"/>
    <w:multiLevelType w:val="multilevel"/>
    <w:tmpl w:val="372E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717EB"/>
    <w:multiLevelType w:val="multilevel"/>
    <w:tmpl w:val="B2363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D4BC5"/>
    <w:multiLevelType w:val="multilevel"/>
    <w:tmpl w:val="224A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F5DCB"/>
    <w:multiLevelType w:val="multilevel"/>
    <w:tmpl w:val="250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E695A"/>
    <w:multiLevelType w:val="multilevel"/>
    <w:tmpl w:val="C68A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D41FC"/>
    <w:multiLevelType w:val="multilevel"/>
    <w:tmpl w:val="4E4E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2077AF"/>
    <w:multiLevelType w:val="multilevel"/>
    <w:tmpl w:val="7FAC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15C0D"/>
    <w:multiLevelType w:val="multilevel"/>
    <w:tmpl w:val="3456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7F457E"/>
    <w:multiLevelType w:val="multilevel"/>
    <w:tmpl w:val="84CC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D4066"/>
    <w:multiLevelType w:val="multilevel"/>
    <w:tmpl w:val="A7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546A9"/>
    <w:multiLevelType w:val="multilevel"/>
    <w:tmpl w:val="2D8A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33365"/>
    <w:multiLevelType w:val="multilevel"/>
    <w:tmpl w:val="B474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02B08"/>
    <w:multiLevelType w:val="multilevel"/>
    <w:tmpl w:val="2C0E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856FA"/>
    <w:multiLevelType w:val="multilevel"/>
    <w:tmpl w:val="0B66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52B0C"/>
    <w:multiLevelType w:val="multilevel"/>
    <w:tmpl w:val="5E4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9F3183"/>
    <w:multiLevelType w:val="multilevel"/>
    <w:tmpl w:val="70CA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50700E"/>
    <w:multiLevelType w:val="multilevel"/>
    <w:tmpl w:val="3B28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9B16D3"/>
    <w:multiLevelType w:val="multilevel"/>
    <w:tmpl w:val="87AC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FA3C62"/>
    <w:multiLevelType w:val="multilevel"/>
    <w:tmpl w:val="8C8C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AA7984"/>
    <w:multiLevelType w:val="multilevel"/>
    <w:tmpl w:val="1476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B612A"/>
    <w:multiLevelType w:val="multilevel"/>
    <w:tmpl w:val="A9D8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6D5221"/>
    <w:multiLevelType w:val="multilevel"/>
    <w:tmpl w:val="12CE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2D5A7A"/>
    <w:multiLevelType w:val="multilevel"/>
    <w:tmpl w:val="A1E6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82167D"/>
    <w:multiLevelType w:val="multilevel"/>
    <w:tmpl w:val="BCC2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FC6E2F"/>
    <w:multiLevelType w:val="multilevel"/>
    <w:tmpl w:val="A20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093154">
    <w:abstractNumId w:val="8"/>
  </w:num>
  <w:num w:numId="2" w16cid:durableId="1898398663">
    <w:abstractNumId w:val="10"/>
  </w:num>
  <w:num w:numId="3" w16cid:durableId="1801343587">
    <w:abstractNumId w:val="27"/>
  </w:num>
  <w:num w:numId="4" w16cid:durableId="997146807">
    <w:abstractNumId w:val="15"/>
  </w:num>
  <w:num w:numId="5" w16cid:durableId="1216312137">
    <w:abstractNumId w:val="21"/>
  </w:num>
  <w:num w:numId="6" w16cid:durableId="15543172">
    <w:abstractNumId w:val="6"/>
  </w:num>
  <w:num w:numId="7" w16cid:durableId="1063017259">
    <w:abstractNumId w:val="9"/>
  </w:num>
  <w:num w:numId="8" w16cid:durableId="1963880822">
    <w:abstractNumId w:val="13"/>
  </w:num>
  <w:num w:numId="9" w16cid:durableId="1284269577">
    <w:abstractNumId w:val="7"/>
  </w:num>
  <w:num w:numId="10" w16cid:durableId="2092265521">
    <w:abstractNumId w:val="5"/>
  </w:num>
  <w:num w:numId="11" w16cid:durableId="111563110">
    <w:abstractNumId w:val="18"/>
  </w:num>
  <w:num w:numId="12" w16cid:durableId="1645892851">
    <w:abstractNumId w:val="26"/>
  </w:num>
  <w:num w:numId="13" w16cid:durableId="800998978">
    <w:abstractNumId w:val="14"/>
  </w:num>
  <w:num w:numId="14" w16cid:durableId="657416885">
    <w:abstractNumId w:val="4"/>
  </w:num>
  <w:num w:numId="15" w16cid:durableId="1682849994">
    <w:abstractNumId w:val="22"/>
  </w:num>
  <w:num w:numId="16" w16cid:durableId="1799061095">
    <w:abstractNumId w:val="16"/>
  </w:num>
  <w:num w:numId="17" w16cid:durableId="907109612">
    <w:abstractNumId w:val="25"/>
  </w:num>
  <w:num w:numId="18" w16cid:durableId="835651702">
    <w:abstractNumId w:val="28"/>
  </w:num>
  <w:num w:numId="19" w16cid:durableId="1633172385">
    <w:abstractNumId w:val="20"/>
  </w:num>
  <w:num w:numId="20" w16cid:durableId="1160191597">
    <w:abstractNumId w:val="19"/>
  </w:num>
  <w:num w:numId="21" w16cid:durableId="1158962182">
    <w:abstractNumId w:val="12"/>
  </w:num>
  <w:num w:numId="22" w16cid:durableId="945306223">
    <w:abstractNumId w:val="1"/>
  </w:num>
  <w:num w:numId="23" w16cid:durableId="1445923331">
    <w:abstractNumId w:val="24"/>
  </w:num>
  <w:num w:numId="24" w16cid:durableId="1896549160">
    <w:abstractNumId w:val="17"/>
  </w:num>
  <w:num w:numId="25" w16cid:durableId="1432117216">
    <w:abstractNumId w:val="3"/>
  </w:num>
  <w:num w:numId="26" w16cid:durableId="1164248263">
    <w:abstractNumId w:val="23"/>
  </w:num>
  <w:num w:numId="27" w16cid:durableId="1104810612">
    <w:abstractNumId w:val="29"/>
  </w:num>
  <w:num w:numId="28" w16cid:durableId="1463385930">
    <w:abstractNumId w:val="11"/>
  </w:num>
  <w:num w:numId="29" w16cid:durableId="1952468033">
    <w:abstractNumId w:val="2"/>
  </w:num>
  <w:num w:numId="30" w16cid:durableId="161701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F1177"/>
    <w:rsid w:val="0013594E"/>
    <w:rsid w:val="00135CDD"/>
    <w:rsid w:val="001666DB"/>
    <w:rsid w:val="001B03F3"/>
    <w:rsid w:val="001B38AB"/>
    <w:rsid w:val="001C2E5A"/>
    <w:rsid w:val="001F5435"/>
    <w:rsid w:val="001F64D4"/>
    <w:rsid w:val="002439F2"/>
    <w:rsid w:val="002569B2"/>
    <w:rsid w:val="0026538A"/>
    <w:rsid w:val="00275A92"/>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3D21"/>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507B1"/>
    <w:rsid w:val="00B649B3"/>
    <w:rsid w:val="00B65E49"/>
    <w:rsid w:val="00B76104"/>
    <w:rsid w:val="00B870C7"/>
    <w:rsid w:val="00B9030D"/>
    <w:rsid w:val="00B906BB"/>
    <w:rsid w:val="00B9666C"/>
    <w:rsid w:val="00BA73A4"/>
    <w:rsid w:val="00BB2B03"/>
    <w:rsid w:val="00BD66AA"/>
    <w:rsid w:val="00C03F1D"/>
    <w:rsid w:val="00C43ED4"/>
    <w:rsid w:val="00C825EC"/>
    <w:rsid w:val="00C87F06"/>
    <w:rsid w:val="00CA4633"/>
    <w:rsid w:val="00CC4DE7"/>
    <w:rsid w:val="00CC71AA"/>
    <w:rsid w:val="00CF3470"/>
    <w:rsid w:val="00D00629"/>
    <w:rsid w:val="00D503E9"/>
    <w:rsid w:val="00DA6E3D"/>
    <w:rsid w:val="00DD28A8"/>
    <w:rsid w:val="00DD2902"/>
    <w:rsid w:val="00DE760B"/>
    <w:rsid w:val="00E07964"/>
    <w:rsid w:val="00E5775F"/>
    <w:rsid w:val="00E9016D"/>
    <w:rsid w:val="00F07238"/>
    <w:rsid w:val="00F26BAE"/>
    <w:rsid w:val="00F4784B"/>
    <w:rsid w:val="00F47F65"/>
    <w:rsid w:val="00F73967"/>
    <w:rsid w:val="00F83D28"/>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49255019" TargetMode="External"/><Relationship Id="rId13" Type="http://schemas.openxmlformats.org/officeDocument/2006/relationships/hyperlink" Target="https://www.legifrance.gouv.fr/loda/article_lc/LEGIARTI000019241077" TargetMode="External"/><Relationship Id="rId18" Type="http://schemas.openxmlformats.org/officeDocument/2006/relationships/hyperlink" Target="https://www.legifrance.gouv.fr/codes/article_lc/LEGIARTI000006419283"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ur-lex.europa.eu/legal-content/FR/TXT/HTML/?uri=CELEX:12012E288" TargetMode="External"/><Relationship Id="rId7" Type="http://schemas.openxmlformats.org/officeDocument/2006/relationships/hyperlink" Target="https://www.legifrance.gouv.fr/loda/id/JORFTEXT000000571356/" TargetMode="External"/><Relationship Id="rId12" Type="http://schemas.openxmlformats.org/officeDocument/2006/relationships/hyperlink" Target="https://www.legifrance.gouv.fr/loda/article_lc/LEGIARTI000019241074" TargetMode="External"/><Relationship Id="rId17" Type="http://schemas.openxmlformats.org/officeDocument/2006/relationships/hyperlink" Target="https://www.legifrance.gouv.fr/codes/article_lc/LEGIARTI000006419280" TargetMode="External"/><Relationship Id="rId25" Type="http://schemas.openxmlformats.org/officeDocument/2006/relationships/hyperlink" Target="https://www.legifrance.gouv.fr/ceta/id/CETATEXT000008008495/" TargetMode="External"/><Relationship Id="rId2" Type="http://schemas.openxmlformats.org/officeDocument/2006/relationships/styles" Target="styles.xml"/><Relationship Id="rId16" Type="http://schemas.openxmlformats.org/officeDocument/2006/relationships/hyperlink" Target="https://www.assemblee-nationale.fr/dyn/synthese/fonctionnement-assemblee-nationale/travail-legislatif/la-procedure-legislative" TargetMode="External"/><Relationship Id="rId20" Type="http://schemas.openxmlformats.org/officeDocument/2006/relationships/hyperlink" Target="https://www.legifrance.gouv.fr/codes/article_lc/LEGIARTI0000064192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id/LEGISCTA000006095826" TargetMode="External"/><Relationship Id="rId24" Type="http://schemas.openxmlformats.org/officeDocument/2006/relationships/hyperlink" Target="https://www.conseil-etat.fr/decisions-de-justice/jurisprudence/les-grandes-decisions-depuis-1873/conseil-d-etat-assemblee-20-octobre-1989-nicolo" TargetMode="External"/><Relationship Id="rId5" Type="http://schemas.openxmlformats.org/officeDocument/2006/relationships/footnotes" Target="footnotes.xml"/><Relationship Id="rId15" Type="http://schemas.openxmlformats.org/officeDocument/2006/relationships/hyperlink" Target="https://qpc360.conseil-constitutionnel.fr/question-prioritaire-constitutionnalite-qpc" TargetMode="External"/><Relationship Id="rId23" Type="http://schemas.openxmlformats.org/officeDocument/2006/relationships/hyperlink" Target="https://www.legifrance.gouv.fr/juri/id/JURITEXT000006994625/" TargetMode="External"/><Relationship Id="rId28" Type="http://schemas.openxmlformats.org/officeDocument/2006/relationships/theme" Target="theme/theme1.xml"/><Relationship Id="rId10" Type="http://schemas.openxmlformats.org/officeDocument/2006/relationships/hyperlink" Target="https://www.legifrance.gouv.fr/loda/article_lc/LEGIARTI000006527540" TargetMode="External"/><Relationship Id="rId19" Type="http://schemas.openxmlformats.org/officeDocument/2006/relationships/hyperlink" Target="https://www.legifrance.gouv.fr/codes/article_lc/LEGIARTI000006419284" TargetMode="External"/><Relationship Id="rId4" Type="http://schemas.openxmlformats.org/officeDocument/2006/relationships/webSettings" Target="webSettings.xml"/><Relationship Id="rId9" Type="http://schemas.openxmlformats.org/officeDocument/2006/relationships/hyperlink" Target="https://www.legifrance.gouv.fr/loda/article_lc/LEGIARTI000019241024" TargetMode="External"/><Relationship Id="rId14" Type="http://schemas.openxmlformats.org/officeDocument/2006/relationships/hyperlink" Target="https://qpc360.conseil-constitutionnel.fr/bloc-constitutionnalite" TargetMode="External"/><Relationship Id="rId22" Type="http://schemas.openxmlformats.org/officeDocument/2006/relationships/hyperlink" Target="https://eur-lex.europa.eu/FR/legal-content/glossary/primacy-of-eu-law-precedence-supremacy.htm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4211</Words>
  <Characters>23161</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2026-08-12T08:24:00Z</dcterms:created>
  <dcterms:modified xsi:type="dcterms:W3CDTF">2026-08-12T11:32:00Z</dcterms:modified>
</cp:coreProperties>
</file>