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58B2" w14:textId="486067D9" w:rsidR="00E128D3" w:rsidRPr="00E128D3" w:rsidRDefault="00E128D3" w:rsidP="00E128D3">
      <w:pPr>
        <w:pStyle w:val="Titre1"/>
        <w:spacing w:before="0" w:after="0" w:line="240" w:lineRule="auto"/>
      </w:pPr>
      <w:r w:rsidRPr="00E128D3">
        <w:t xml:space="preserve">Fiche 8 </w:t>
      </w:r>
      <w:r>
        <w:t>-</w:t>
      </w:r>
      <w:r w:rsidRPr="00E128D3">
        <w:t xml:space="preserve"> Le fonds de commerce et le bail commercial</w:t>
      </w:r>
    </w:p>
    <w:p w14:paraId="6EAEA850" w14:textId="7EE61EB9" w:rsidR="00E128D3" w:rsidRPr="00E128D3" w:rsidRDefault="00E128D3" w:rsidP="00E128D3">
      <w:pPr>
        <w:spacing w:after="0" w:line="240" w:lineRule="auto"/>
      </w:pPr>
      <w:r w:rsidRPr="00E128D3">
        <w:rPr>
          <w:b/>
          <w:bCs/>
        </w:rPr>
        <w:t>Mise à jour</w:t>
      </w:r>
      <w:r>
        <w:rPr>
          <w:b/>
          <w:bCs/>
        </w:rPr>
        <w:t> :</w:t>
      </w:r>
      <w:r w:rsidRPr="00E128D3">
        <w:rPr>
          <w:b/>
          <w:bCs/>
        </w:rPr>
        <w:t xml:space="preserve"> 12 août 2026</w:t>
      </w:r>
    </w:p>
    <w:p w14:paraId="54F7CC18" w14:textId="77777777" w:rsidR="00E128D3" w:rsidRPr="00E128D3" w:rsidRDefault="00E128D3" w:rsidP="00E128D3">
      <w:pPr>
        <w:pStyle w:val="Titre1"/>
      </w:pPr>
      <w:r w:rsidRPr="00E128D3">
        <w:t>1. Le fonds de commerce est un ensemble de biens affectés à une activité commerciale</w:t>
      </w:r>
    </w:p>
    <w:p w14:paraId="415D9706" w14:textId="77777777" w:rsidR="00E128D3" w:rsidRPr="00E128D3" w:rsidRDefault="00E128D3" w:rsidP="00E128D3">
      <w:pPr>
        <w:spacing w:after="0" w:line="240" w:lineRule="auto"/>
      </w:pPr>
      <w:r w:rsidRPr="00E128D3">
        <w:t xml:space="preserve">Le </w:t>
      </w:r>
      <w:r w:rsidRPr="00E128D3">
        <w:rPr>
          <w:b/>
          <w:bCs/>
        </w:rPr>
        <w:t>fonds de commerce</w:t>
      </w:r>
      <w:r w:rsidRPr="00E128D3">
        <w:t xml:space="preserve"> est un ensemble organisé d’éléments qu’un commerçant réunit et exploite pour attirer et conserver une clientèle.</w:t>
      </w:r>
    </w:p>
    <w:p w14:paraId="3E77A702" w14:textId="6AAD6DDC" w:rsidR="00E128D3" w:rsidRPr="00E128D3" w:rsidRDefault="00E128D3" w:rsidP="00E128D3">
      <w:pPr>
        <w:spacing w:after="0" w:line="240" w:lineRule="auto"/>
      </w:pPr>
      <w:r w:rsidRPr="00E128D3">
        <w:t>Il ne constitue</w:t>
      </w:r>
      <w:r>
        <w:t> :</w:t>
      </w:r>
    </w:p>
    <w:p w14:paraId="0F4ECBCD" w14:textId="5A064303" w:rsidR="00E128D3" w:rsidRPr="00E128D3" w:rsidRDefault="00E128D3">
      <w:pPr>
        <w:numPr>
          <w:ilvl w:val="0"/>
          <w:numId w:val="1"/>
        </w:numPr>
        <w:spacing w:after="0" w:line="240" w:lineRule="auto"/>
      </w:pPr>
      <w:r w:rsidRPr="00E128D3">
        <w:t>ni une personne morale</w:t>
      </w:r>
      <w:r>
        <w:t> ;</w:t>
      </w:r>
    </w:p>
    <w:p w14:paraId="5CED234E" w14:textId="33DCB111" w:rsidR="00E128D3" w:rsidRPr="00E128D3" w:rsidRDefault="00E128D3">
      <w:pPr>
        <w:numPr>
          <w:ilvl w:val="0"/>
          <w:numId w:val="1"/>
        </w:numPr>
        <w:spacing w:after="0" w:line="240" w:lineRule="auto"/>
      </w:pPr>
      <w:r w:rsidRPr="00E128D3">
        <w:t>ni un patrimoine autonome</w:t>
      </w:r>
      <w:r>
        <w:t> ;</w:t>
      </w:r>
    </w:p>
    <w:p w14:paraId="10704B25" w14:textId="6A8A627E" w:rsidR="00E128D3" w:rsidRPr="00E128D3" w:rsidRDefault="00E128D3">
      <w:pPr>
        <w:numPr>
          <w:ilvl w:val="0"/>
          <w:numId w:val="1"/>
        </w:numPr>
        <w:spacing w:after="0" w:line="240" w:lineRule="auto"/>
      </w:pPr>
      <w:r w:rsidRPr="00E128D3">
        <w:t>ni l’entreprise elle-même</w:t>
      </w:r>
      <w:r>
        <w:t> ;</w:t>
      </w:r>
    </w:p>
    <w:p w14:paraId="3EFF7BD2" w14:textId="77777777" w:rsidR="00E128D3" w:rsidRPr="00E128D3" w:rsidRDefault="00E128D3">
      <w:pPr>
        <w:numPr>
          <w:ilvl w:val="0"/>
          <w:numId w:val="1"/>
        </w:numPr>
        <w:spacing w:after="0" w:line="240" w:lineRule="auto"/>
      </w:pPr>
      <w:r w:rsidRPr="00E128D3">
        <w:t>ni l’immeuble dans lequel l’activité est exercée.</w:t>
      </w:r>
    </w:p>
    <w:p w14:paraId="6A3DF5A9" w14:textId="77777777" w:rsidR="00E128D3" w:rsidRPr="00E128D3" w:rsidRDefault="00E128D3" w:rsidP="00E128D3">
      <w:pPr>
        <w:spacing w:after="0" w:line="240" w:lineRule="auto"/>
      </w:pPr>
      <w:r w:rsidRPr="00E128D3">
        <w:t xml:space="preserve">Il constitue traditionnellement une </w:t>
      </w:r>
      <w:r w:rsidRPr="00E128D3">
        <w:rPr>
          <w:b/>
          <w:bCs/>
        </w:rPr>
        <w:t>universalité mobilière de fait</w:t>
      </w:r>
      <w:r w:rsidRPr="00E128D3">
        <w:t>, composée d’éléments corporels et incorporels affectés à l’exploitation.</w:t>
      </w:r>
    </w:p>
    <w:p w14:paraId="66065472" w14:textId="77777777" w:rsidR="00E128D3" w:rsidRPr="00E128D3" w:rsidRDefault="00E128D3" w:rsidP="00E128D3">
      <w:pPr>
        <w:spacing w:after="0" w:line="240" w:lineRule="auto"/>
        <w:rPr>
          <w:b/>
          <w:bCs/>
        </w:rPr>
      </w:pPr>
      <w:r w:rsidRPr="00E128D3">
        <w:rPr>
          <w:b/>
          <w:bCs/>
        </w:rPr>
        <w:t>Exemple</w:t>
      </w:r>
    </w:p>
    <w:p w14:paraId="1BE28384" w14:textId="77777777" w:rsidR="00E128D3" w:rsidRPr="00E128D3" w:rsidRDefault="00E128D3" w:rsidP="00E128D3">
      <w:pPr>
        <w:spacing w:after="0" w:line="240" w:lineRule="auto"/>
      </w:pPr>
      <w:r w:rsidRPr="00E128D3">
        <w:t>Un commerçant exploite un restaurant dans un local loué.</w:t>
      </w:r>
    </w:p>
    <w:p w14:paraId="5BDC1A38" w14:textId="67CE9D1F" w:rsidR="00E128D3" w:rsidRPr="00E128D3" w:rsidRDefault="00E128D3" w:rsidP="00E128D3">
      <w:pPr>
        <w:spacing w:after="0" w:line="240" w:lineRule="auto"/>
      </w:pPr>
      <w:r w:rsidRPr="00E128D3">
        <w:t>Son fonds peut notamment comprendre</w:t>
      </w:r>
      <w:r>
        <w:t> :</w:t>
      </w:r>
    </w:p>
    <w:p w14:paraId="25E6CA2F" w14:textId="1B5FAED9" w:rsidR="00E128D3" w:rsidRPr="00E128D3" w:rsidRDefault="00E128D3">
      <w:pPr>
        <w:numPr>
          <w:ilvl w:val="0"/>
          <w:numId w:val="2"/>
        </w:numPr>
        <w:spacing w:after="0" w:line="240" w:lineRule="auto"/>
      </w:pPr>
      <w:r w:rsidRPr="00E128D3">
        <w:t>clientèle</w:t>
      </w:r>
      <w:r>
        <w:t> ;</w:t>
      </w:r>
    </w:p>
    <w:p w14:paraId="21E73FDF" w14:textId="2437E0B3" w:rsidR="00E128D3" w:rsidRPr="00E128D3" w:rsidRDefault="00E128D3">
      <w:pPr>
        <w:numPr>
          <w:ilvl w:val="0"/>
          <w:numId w:val="2"/>
        </w:numPr>
        <w:spacing w:after="0" w:line="240" w:lineRule="auto"/>
      </w:pPr>
      <w:r w:rsidRPr="00E128D3">
        <w:t>nom commercial</w:t>
      </w:r>
      <w:r>
        <w:t> ;</w:t>
      </w:r>
    </w:p>
    <w:p w14:paraId="3F8A1CD6" w14:textId="2BEB777F" w:rsidR="00E128D3" w:rsidRPr="00E128D3" w:rsidRDefault="00E128D3">
      <w:pPr>
        <w:numPr>
          <w:ilvl w:val="0"/>
          <w:numId w:val="2"/>
        </w:numPr>
        <w:spacing w:after="0" w:line="240" w:lineRule="auto"/>
      </w:pPr>
      <w:r w:rsidRPr="00E128D3">
        <w:t>enseigne</w:t>
      </w:r>
      <w:r>
        <w:t> ;</w:t>
      </w:r>
    </w:p>
    <w:p w14:paraId="30811AE1" w14:textId="48CC63D3" w:rsidR="00E128D3" w:rsidRPr="00E128D3" w:rsidRDefault="00E128D3">
      <w:pPr>
        <w:numPr>
          <w:ilvl w:val="0"/>
          <w:numId w:val="2"/>
        </w:numPr>
        <w:spacing w:after="0" w:line="240" w:lineRule="auto"/>
      </w:pPr>
      <w:r w:rsidRPr="00E128D3">
        <w:t>droit au bail</w:t>
      </w:r>
      <w:r>
        <w:t> ;</w:t>
      </w:r>
    </w:p>
    <w:p w14:paraId="63F0FB1C" w14:textId="00688947" w:rsidR="00E128D3" w:rsidRPr="00E128D3" w:rsidRDefault="00E128D3">
      <w:pPr>
        <w:numPr>
          <w:ilvl w:val="0"/>
          <w:numId w:val="2"/>
        </w:numPr>
        <w:spacing w:after="0" w:line="240" w:lineRule="auto"/>
      </w:pPr>
      <w:r w:rsidRPr="00E128D3">
        <w:t>marque</w:t>
      </w:r>
      <w:r>
        <w:t> ;</w:t>
      </w:r>
    </w:p>
    <w:p w14:paraId="2EDE450D" w14:textId="1FABB521" w:rsidR="00E128D3" w:rsidRPr="00E128D3" w:rsidRDefault="00E128D3">
      <w:pPr>
        <w:numPr>
          <w:ilvl w:val="0"/>
          <w:numId w:val="2"/>
        </w:numPr>
        <w:spacing w:after="0" w:line="240" w:lineRule="auto"/>
      </w:pPr>
      <w:r w:rsidRPr="00E128D3">
        <w:t>matériel de cuisine</w:t>
      </w:r>
      <w:r>
        <w:t> ;</w:t>
      </w:r>
    </w:p>
    <w:p w14:paraId="200BE26F" w14:textId="77777777" w:rsidR="00E128D3" w:rsidRPr="00E128D3" w:rsidRDefault="00E128D3">
      <w:pPr>
        <w:numPr>
          <w:ilvl w:val="0"/>
          <w:numId w:val="2"/>
        </w:numPr>
        <w:spacing w:after="0" w:line="240" w:lineRule="auto"/>
      </w:pPr>
      <w:r w:rsidRPr="00E128D3">
        <w:t>mobilier.</w:t>
      </w:r>
    </w:p>
    <w:p w14:paraId="02FA8695" w14:textId="77777777" w:rsidR="00E128D3" w:rsidRPr="00E128D3" w:rsidRDefault="00E128D3" w:rsidP="00E128D3">
      <w:pPr>
        <w:spacing w:after="0" w:line="240" w:lineRule="auto"/>
      </w:pPr>
      <w:r w:rsidRPr="00E128D3">
        <w:t>L’immeuble lui-même n’appartient pas au fonds.</w:t>
      </w:r>
    </w:p>
    <w:p w14:paraId="6009B5D4" w14:textId="77777777" w:rsidR="00E128D3" w:rsidRPr="00E128D3" w:rsidRDefault="00E128D3" w:rsidP="00E128D3">
      <w:pPr>
        <w:pStyle w:val="Titre1"/>
      </w:pPr>
      <w:r w:rsidRPr="00E128D3">
        <w:t>2. La clientèle est l’élément essentiel du fonds</w:t>
      </w:r>
    </w:p>
    <w:p w14:paraId="6F916C98" w14:textId="77777777" w:rsidR="00E128D3" w:rsidRPr="00E128D3" w:rsidRDefault="00E128D3" w:rsidP="00E128D3">
      <w:pPr>
        <w:spacing w:after="0" w:line="240" w:lineRule="auto"/>
      </w:pPr>
      <w:r w:rsidRPr="00E128D3">
        <w:t xml:space="preserve">Le fonds de commerce n’existe pas sans </w:t>
      </w:r>
      <w:r w:rsidRPr="00E128D3">
        <w:rPr>
          <w:b/>
          <w:bCs/>
        </w:rPr>
        <w:t>clientèle propre</w:t>
      </w:r>
      <w:r w:rsidRPr="00E128D3">
        <w:t>.</w:t>
      </w:r>
    </w:p>
    <w:p w14:paraId="38FFE740" w14:textId="77777777" w:rsidR="00E128D3" w:rsidRPr="00E128D3" w:rsidRDefault="00E128D3" w:rsidP="00E128D3">
      <w:pPr>
        <w:spacing w:after="0" w:line="240" w:lineRule="auto"/>
      </w:pPr>
      <w:r w:rsidRPr="00E128D3">
        <w:t xml:space="preserve">La Cour de cassation rappelle qu’une activité ne caractérise pas nécessairement un fonds lorsque l’exploitant ne dispose pas d’une clientèle suffisamment propre et autonome. Dans un arrêt du </w:t>
      </w:r>
      <w:r w:rsidRPr="00E128D3">
        <w:rPr>
          <w:b/>
          <w:bCs/>
        </w:rPr>
        <w:t>5 avril 2018, n° 17-10.466</w:t>
      </w:r>
      <w:r w:rsidRPr="00E128D3">
        <w:t>, elle a ainsi approuvé les juges ayant écarté l’existence d’un fonds faute de clientèle propre de l’exploitant. (</w:t>
      </w:r>
      <w:hyperlink r:id="rId7" w:tooltip="Cour de cassation, civile, Chambre civile 3, 5 avril 2018, 17-10.466, Inédit - Légifrance" w:history="1">
        <w:r w:rsidRPr="00E128D3">
          <w:rPr>
            <w:rStyle w:val="Lienhypertexte"/>
          </w:rPr>
          <w:t>Légifrance</w:t>
        </w:r>
      </w:hyperlink>
      <w:r w:rsidRPr="00E128D3">
        <w:t>)</w:t>
      </w:r>
    </w:p>
    <w:p w14:paraId="4C57489B" w14:textId="77777777" w:rsidR="00E128D3" w:rsidRPr="00E128D3" w:rsidRDefault="00E128D3" w:rsidP="00E128D3">
      <w:pPr>
        <w:spacing w:after="0" w:line="240" w:lineRule="auto"/>
        <w:rPr>
          <w:b/>
          <w:bCs/>
        </w:rPr>
      </w:pPr>
      <w:r w:rsidRPr="00E128D3">
        <w:rPr>
          <w:b/>
          <w:bCs/>
        </w:rPr>
        <w:t>Exemple</w:t>
      </w:r>
    </w:p>
    <w:p w14:paraId="4B8951A7" w14:textId="3895F18A" w:rsidR="00E128D3" w:rsidRPr="00E128D3" w:rsidRDefault="00E128D3" w:rsidP="00E128D3">
      <w:pPr>
        <w:spacing w:after="0" w:line="240" w:lineRule="auto"/>
      </w:pPr>
      <w:r w:rsidRPr="00E128D3">
        <w:t>Un restaurateur</w:t>
      </w:r>
      <w:r>
        <w:t> :</w:t>
      </w:r>
    </w:p>
    <w:p w14:paraId="6E0E4A5C" w14:textId="4068A782" w:rsidR="00E128D3" w:rsidRPr="00E128D3" w:rsidRDefault="00E128D3">
      <w:pPr>
        <w:numPr>
          <w:ilvl w:val="0"/>
          <w:numId w:val="3"/>
        </w:numPr>
        <w:spacing w:after="0" w:line="240" w:lineRule="auto"/>
      </w:pPr>
      <w:r w:rsidRPr="00E128D3">
        <w:t>choisit ses prestations</w:t>
      </w:r>
      <w:r>
        <w:t> ;</w:t>
      </w:r>
    </w:p>
    <w:p w14:paraId="35478B55" w14:textId="32832B19" w:rsidR="00E128D3" w:rsidRPr="00E128D3" w:rsidRDefault="00E128D3">
      <w:pPr>
        <w:numPr>
          <w:ilvl w:val="0"/>
          <w:numId w:val="3"/>
        </w:numPr>
        <w:spacing w:after="0" w:line="240" w:lineRule="auto"/>
      </w:pPr>
      <w:r w:rsidRPr="00E128D3">
        <w:t>dispose de sa réputation</w:t>
      </w:r>
      <w:r>
        <w:t> ;</w:t>
      </w:r>
    </w:p>
    <w:p w14:paraId="14B9028A" w14:textId="7821F155" w:rsidR="00E128D3" w:rsidRPr="00E128D3" w:rsidRDefault="00E128D3">
      <w:pPr>
        <w:numPr>
          <w:ilvl w:val="0"/>
          <w:numId w:val="3"/>
        </w:numPr>
        <w:spacing w:after="0" w:line="240" w:lineRule="auto"/>
      </w:pPr>
      <w:r w:rsidRPr="00E128D3">
        <w:t>fixe ses conditions commerciales</w:t>
      </w:r>
      <w:r>
        <w:t> ;</w:t>
      </w:r>
    </w:p>
    <w:p w14:paraId="18A326A0" w14:textId="77777777" w:rsidR="00E128D3" w:rsidRPr="00E128D3" w:rsidRDefault="00E128D3">
      <w:pPr>
        <w:numPr>
          <w:ilvl w:val="0"/>
          <w:numId w:val="3"/>
        </w:numPr>
        <w:spacing w:after="0" w:line="240" w:lineRule="auto"/>
      </w:pPr>
      <w:r w:rsidRPr="00E128D3">
        <w:t>attire une clientèle identifiable.</w:t>
      </w:r>
    </w:p>
    <w:p w14:paraId="460D8E55" w14:textId="77777777" w:rsidR="00E128D3" w:rsidRPr="00E128D3" w:rsidRDefault="00E128D3" w:rsidP="00E128D3">
      <w:pPr>
        <w:spacing w:after="0" w:line="240" w:lineRule="auto"/>
      </w:pPr>
      <w:r w:rsidRPr="00E128D3">
        <w:t>La clientèle peut caractériser l’existence d’un fonds.</w:t>
      </w:r>
    </w:p>
    <w:p w14:paraId="111A344A" w14:textId="77777777" w:rsidR="00E128D3" w:rsidRPr="00E128D3" w:rsidRDefault="00E128D3" w:rsidP="00E128D3">
      <w:pPr>
        <w:spacing w:after="0" w:line="240" w:lineRule="auto"/>
        <w:rPr>
          <w:b/>
          <w:bCs/>
        </w:rPr>
      </w:pPr>
      <w:r w:rsidRPr="00E128D3">
        <w:rPr>
          <w:b/>
          <w:bCs/>
        </w:rPr>
        <w:t>Contre-exemple</w:t>
      </w:r>
    </w:p>
    <w:p w14:paraId="3554B374" w14:textId="5E67F945" w:rsidR="00E128D3" w:rsidRPr="00E128D3" w:rsidRDefault="00E128D3" w:rsidP="00E128D3">
      <w:pPr>
        <w:spacing w:after="0" w:line="240" w:lineRule="auto"/>
      </w:pPr>
      <w:r w:rsidRPr="00E128D3">
        <w:t>Le seul fait</w:t>
      </w:r>
      <w:r>
        <w:t> :</w:t>
      </w:r>
    </w:p>
    <w:p w14:paraId="0D75484E" w14:textId="7228461F" w:rsidR="00E128D3" w:rsidRPr="00E128D3" w:rsidRDefault="00E128D3">
      <w:pPr>
        <w:numPr>
          <w:ilvl w:val="0"/>
          <w:numId w:val="4"/>
        </w:numPr>
        <w:spacing w:after="0" w:line="240" w:lineRule="auto"/>
      </w:pPr>
      <w:r w:rsidRPr="00E128D3">
        <w:t>de disposer de matériel</w:t>
      </w:r>
      <w:r>
        <w:t> ;</w:t>
      </w:r>
    </w:p>
    <w:p w14:paraId="67637FAC" w14:textId="228419BF" w:rsidR="00E128D3" w:rsidRPr="00E128D3" w:rsidRDefault="00E128D3">
      <w:pPr>
        <w:numPr>
          <w:ilvl w:val="0"/>
          <w:numId w:val="4"/>
        </w:numPr>
        <w:spacing w:after="0" w:line="240" w:lineRule="auto"/>
      </w:pPr>
      <w:r w:rsidRPr="00E128D3">
        <w:t>d’occuper un emplacement attractif</w:t>
      </w:r>
      <w:r>
        <w:t> ;</w:t>
      </w:r>
    </w:p>
    <w:p w14:paraId="6F25D12F" w14:textId="77777777" w:rsidR="00E128D3" w:rsidRPr="00E128D3" w:rsidRDefault="00E128D3">
      <w:pPr>
        <w:numPr>
          <w:ilvl w:val="0"/>
          <w:numId w:val="4"/>
        </w:numPr>
        <w:spacing w:after="0" w:line="240" w:lineRule="auto"/>
      </w:pPr>
      <w:r w:rsidRPr="00E128D3">
        <w:t>d’exercer une activité matérielle</w:t>
      </w:r>
    </w:p>
    <w:p w14:paraId="18D6E0E7" w14:textId="77777777" w:rsidR="00E128D3" w:rsidRPr="00E128D3" w:rsidRDefault="00E128D3" w:rsidP="00E128D3">
      <w:pPr>
        <w:spacing w:after="0" w:line="240" w:lineRule="auto"/>
      </w:pPr>
      <w:r w:rsidRPr="00E128D3">
        <w:t>ne suffit pas nécessairement si aucune clientèle propre ne peut être identifiée. (</w:t>
      </w:r>
      <w:hyperlink r:id="rId8" w:tooltip="Cour de cassation, civile, Chambre civile 3, 5 avril 2018, 17-10.466, Inédit - Légifrance" w:history="1">
        <w:r w:rsidRPr="00E128D3">
          <w:rPr>
            <w:rStyle w:val="Lienhypertexte"/>
          </w:rPr>
          <w:t>Légifrance</w:t>
        </w:r>
      </w:hyperlink>
      <w:r w:rsidRPr="00E128D3">
        <w:t>)</w:t>
      </w:r>
    </w:p>
    <w:p w14:paraId="067EB5E5" w14:textId="77777777" w:rsidR="00E128D3" w:rsidRPr="00E128D3" w:rsidRDefault="00E128D3" w:rsidP="00E128D3">
      <w:pPr>
        <w:pStyle w:val="Titre1"/>
      </w:pPr>
      <w:r w:rsidRPr="00E128D3">
        <w:t>3. Clientèle et achalandage</w:t>
      </w:r>
    </w:p>
    <w:p w14:paraId="4614B99B" w14:textId="77777777" w:rsidR="00E128D3" w:rsidRPr="00E128D3" w:rsidRDefault="00E128D3" w:rsidP="00E128D3">
      <w:pPr>
        <w:spacing w:after="0" w:line="240" w:lineRule="auto"/>
      </w:pPr>
      <w:r w:rsidRPr="00E128D3">
        <w:t>Les deux notions sont traditionnellement distinguées.</w:t>
      </w:r>
    </w:p>
    <w:tbl>
      <w:tblPr>
        <w:tblStyle w:val="Grilledutableau"/>
        <w:tblW w:w="0" w:type="auto"/>
        <w:tblLook w:val="04A0" w:firstRow="1" w:lastRow="0" w:firstColumn="1" w:lastColumn="0" w:noHBand="0" w:noVBand="1"/>
      </w:tblPr>
      <w:tblGrid>
        <w:gridCol w:w="1282"/>
        <w:gridCol w:w="8071"/>
      </w:tblGrid>
      <w:tr w:rsidR="00E128D3" w:rsidRPr="00E128D3" w14:paraId="4BF53F4B" w14:textId="77777777" w:rsidTr="00E128D3">
        <w:trPr>
          <w:tblHeader/>
        </w:trPr>
        <w:tc>
          <w:tcPr>
            <w:tcW w:w="0" w:type="auto"/>
            <w:hideMark/>
          </w:tcPr>
          <w:p w14:paraId="2421379E"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lastRenderedPageBreak/>
              <w:t>Notion</w:t>
            </w:r>
          </w:p>
        </w:tc>
        <w:tc>
          <w:tcPr>
            <w:tcW w:w="0" w:type="auto"/>
            <w:hideMark/>
          </w:tcPr>
          <w:p w14:paraId="295F66BE"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Signification</w:t>
            </w:r>
          </w:p>
        </w:tc>
      </w:tr>
      <w:tr w:rsidR="00E128D3" w:rsidRPr="00E128D3" w14:paraId="723F6D13" w14:textId="77777777" w:rsidTr="00E128D3">
        <w:tc>
          <w:tcPr>
            <w:tcW w:w="0" w:type="auto"/>
            <w:hideMark/>
          </w:tcPr>
          <w:p w14:paraId="1A8A09E6" w14:textId="77777777" w:rsidR="00E128D3" w:rsidRPr="00E128D3" w:rsidRDefault="00E128D3" w:rsidP="00E128D3">
            <w:pPr>
              <w:jc w:val="left"/>
              <w:rPr>
                <w:rFonts w:ascii="Calibri" w:hAnsi="Calibri" w:cs="Calibri"/>
                <w:sz w:val="20"/>
              </w:rPr>
            </w:pPr>
            <w:r w:rsidRPr="00E128D3">
              <w:rPr>
                <w:rFonts w:ascii="Calibri" w:hAnsi="Calibri" w:cs="Calibri"/>
                <w:b/>
                <w:bCs/>
                <w:sz w:val="20"/>
              </w:rPr>
              <w:t>Clientèle</w:t>
            </w:r>
          </w:p>
        </w:tc>
        <w:tc>
          <w:tcPr>
            <w:tcW w:w="0" w:type="auto"/>
            <w:hideMark/>
          </w:tcPr>
          <w:p w14:paraId="3CAA7460" w14:textId="77777777" w:rsidR="00E128D3" w:rsidRPr="00E128D3" w:rsidRDefault="00E128D3" w:rsidP="00E128D3">
            <w:pPr>
              <w:jc w:val="left"/>
              <w:rPr>
                <w:rFonts w:ascii="Calibri" w:hAnsi="Calibri" w:cs="Calibri"/>
                <w:sz w:val="20"/>
              </w:rPr>
            </w:pPr>
            <w:r w:rsidRPr="00E128D3">
              <w:rPr>
                <w:rFonts w:ascii="Calibri" w:hAnsi="Calibri" w:cs="Calibri"/>
                <w:sz w:val="20"/>
              </w:rPr>
              <w:t>Personnes attirées notamment par l’activité, la réputation, les produits ou services de l’exploitant</w:t>
            </w:r>
          </w:p>
        </w:tc>
      </w:tr>
      <w:tr w:rsidR="00E128D3" w:rsidRPr="00E128D3" w14:paraId="0000A881" w14:textId="77777777" w:rsidTr="00E128D3">
        <w:tc>
          <w:tcPr>
            <w:tcW w:w="0" w:type="auto"/>
            <w:hideMark/>
          </w:tcPr>
          <w:p w14:paraId="064868D1" w14:textId="77777777" w:rsidR="00E128D3" w:rsidRPr="00E128D3" w:rsidRDefault="00E128D3" w:rsidP="00E128D3">
            <w:pPr>
              <w:jc w:val="left"/>
              <w:rPr>
                <w:rFonts w:ascii="Calibri" w:hAnsi="Calibri" w:cs="Calibri"/>
                <w:sz w:val="20"/>
              </w:rPr>
            </w:pPr>
            <w:r w:rsidRPr="00E128D3">
              <w:rPr>
                <w:rFonts w:ascii="Calibri" w:hAnsi="Calibri" w:cs="Calibri"/>
                <w:b/>
                <w:bCs/>
                <w:sz w:val="20"/>
              </w:rPr>
              <w:t>Achalandage</w:t>
            </w:r>
          </w:p>
        </w:tc>
        <w:tc>
          <w:tcPr>
            <w:tcW w:w="0" w:type="auto"/>
            <w:hideMark/>
          </w:tcPr>
          <w:p w14:paraId="22E9D798" w14:textId="77777777" w:rsidR="00E128D3" w:rsidRPr="00E128D3" w:rsidRDefault="00E128D3" w:rsidP="00E128D3">
            <w:pPr>
              <w:jc w:val="left"/>
              <w:rPr>
                <w:rFonts w:ascii="Calibri" w:hAnsi="Calibri" w:cs="Calibri"/>
                <w:sz w:val="20"/>
              </w:rPr>
            </w:pPr>
            <w:r w:rsidRPr="00E128D3">
              <w:rPr>
                <w:rFonts w:ascii="Calibri" w:hAnsi="Calibri" w:cs="Calibri"/>
                <w:sz w:val="20"/>
              </w:rPr>
              <w:t>Attraction résultant davantage de l’emplacement et du passage</w:t>
            </w:r>
          </w:p>
        </w:tc>
      </w:tr>
    </w:tbl>
    <w:p w14:paraId="344D1EE0" w14:textId="0C928E33" w:rsidR="00E128D3" w:rsidRPr="00E128D3" w:rsidRDefault="00E128D3" w:rsidP="00E128D3">
      <w:pPr>
        <w:spacing w:after="0" w:line="240" w:lineRule="auto"/>
      </w:pPr>
      <w:r w:rsidRPr="00E128D3">
        <w:t>En pratique, la distinction ne doit pas faire perdre de vue l’essentiel</w:t>
      </w:r>
      <w:r>
        <w:t> :</w:t>
      </w:r>
    </w:p>
    <w:p w14:paraId="0DA65231" w14:textId="77777777" w:rsidR="00E128D3" w:rsidRPr="00E128D3" w:rsidRDefault="00E128D3" w:rsidP="00E128D3">
      <w:pPr>
        <w:spacing w:after="0" w:line="240" w:lineRule="auto"/>
      </w:pPr>
      <w:r w:rsidRPr="00E128D3">
        <w:rPr>
          <w:b/>
          <w:bCs/>
        </w:rPr>
        <w:t>il faut une clientèle attachée à l’exploitation du commerçant pour caractériser un fonds de commerce.</w:t>
      </w:r>
    </w:p>
    <w:p w14:paraId="40ABE8C2" w14:textId="77777777" w:rsidR="00E128D3" w:rsidRPr="00E128D3" w:rsidRDefault="00E128D3" w:rsidP="00E128D3">
      <w:pPr>
        <w:spacing w:after="0" w:line="240" w:lineRule="auto"/>
      </w:pPr>
      <w:r w:rsidRPr="00E128D3">
        <w:t xml:space="preserve">Le Code de commerce mentionne d’ailleurs ensemble la </w:t>
      </w:r>
      <w:r w:rsidRPr="00E128D3">
        <w:rPr>
          <w:b/>
          <w:bCs/>
        </w:rPr>
        <w:t>clientèle et l’achalandage</w:t>
      </w:r>
      <w:r w:rsidRPr="00E128D3">
        <w:t xml:space="preserve"> parmi les éléments pouvant être compris dans le nantissement du fonds. (</w:t>
      </w:r>
      <w:hyperlink r:id="rId9" w:tooltip="Article L142-2 - Code de commerce - Légifrance" w:history="1">
        <w:r w:rsidRPr="00E128D3">
          <w:rPr>
            <w:rStyle w:val="Lienhypertexte"/>
          </w:rPr>
          <w:t>Légifrance</w:t>
        </w:r>
      </w:hyperlink>
      <w:r w:rsidRPr="00E128D3">
        <w:t>)</w:t>
      </w:r>
    </w:p>
    <w:p w14:paraId="1E0D34D8" w14:textId="77777777" w:rsidR="00E128D3" w:rsidRPr="00E128D3" w:rsidRDefault="00E128D3" w:rsidP="00E128D3">
      <w:pPr>
        <w:pStyle w:val="Titre1"/>
      </w:pPr>
      <w:r w:rsidRPr="00E128D3">
        <w:t>4. Les principaux éléments incorporels du fonds</w:t>
      </w:r>
    </w:p>
    <w:p w14:paraId="7BB0F830" w14:textId="7A6E2DC6" w:rsidR="00E128D3" w:rsidRPr="00E128D3" w:rsidRDefault="00E128D3" w:rsidP="00E128D3">
      <w:pPr>
        <w:spacing w:after="0" w:line="240" w:lineRule="auto"/>
      </w:pPr>
      <w:r w:rsidRPr="00E128D3">
        <w:t>Le Code de commerce permet d’identifier les principaux éléments incorporels pouvant appartenir au fonds. L’article L. 142-2 cite notamment</w:t>
      </w:r>
      <w:r>
        <w:t> :</w:t>
      </w:r>
    </w:p>
    <w:p w14:paraId="4F2E52B5" w14:textId="64DC602F" w:rsidR="00E128D3" w:rsidRPr="00E128D3" w:rsidRDefault="00E128D3">
      <w:pPr>
        <w:numPr>
          <w:ilvl w:val="0"/>
          <w:numId w:val="5"/>
        </w:numPr>
        <w:spacing w:after="0" w:line="240" w:lineRule="auto"/>
      </w:pPr>
      <w:r w:rsidRPr="00E128D3">
        <w:t>enseigne</w:t>
      </w:r>
      <w:r>
        <w:t> ;</w:t>
      </w:r>
    </w:p>
    <w:p w14:paraId="3F27BA9A" w14:textId="6D7BC4E3" w:rsidR="00E128D3" w:rsidRPr="00E128D3" w:rsidRDefault="00E128D3">
      <w:pPr>
        <w:numPr>
          <w:ilvl w:val="0"/>
          <w:numId w:val="5"/>
        </w:numPr>
        <w:spacing w:after="0" w:line="240" w:lineRule="auto"/>
      </w:pPr>
      <w:r w:rsidRPr="00E128D3">
        <w:t>nom commercial</w:t>
      </w:r>
      <w:r>
        <w:t> ;</w:t>
      </w:r>
    </w:p>
    <w:p w14:paraId="722E7F68" w14:textId="0597622F" w:rsidR="00E128D3" w:rsidRPr="00E128D3" w:rsidRDefault="00E128D3">
      <w:pPr>
        <w:numPr>
          <w:ilvl w:val="0"/>
          <w:numId w:val="5"/>
        </w:numPr>
        <w:spacing w:after="0" w:line="240" w:lineRule="auto"/>
      </w:pPr>
      <w:r w:rsidRPr="00E128D3">
        <w:t>droit au bail</w:t>
      </w:r>
      <w:r>
        <w:t> ;</w:t>
      </w:r>
    </w:p>
    <w:p w14:paraId="7CDAB456" w14:textId="26D172B6" w:rsidR="00E128D3" w:rsidRPr="00E128D3" w:rsidRDefault="00E128D3">
      <w:pPr>
        <w:numPr>
          <w:ilvl w:val="0"/>
          <w:numId w:val="5"/>
        </w:numPr>
        <w:spacing w:after="0" w:line="240" w:lineRule="auto"/>
      </w:pPr>
      <w:r w:rsidRPr="00E128D3">
        <w:t>clientèle et achalandage</w:t>
      </w:r>
      <w:r>
        <w:t> ;</w:t>
      </w:r>
    </w:p>
    <w:p w14:paraId="6D45354F" w14:textId="1668B446" w:rsidR="00E128D3" w:rsidRPr="00E128D3" w:rsidRDefault="00E128D3">
      <w:pPr>
        <w:numPr>
          <w:ilvl w:val="0"/>
          <w:numId w:val="5"/>
        </w:numPr>
        <w:spacing w:after="0" w:line="240" w:lineRule="auto"/>
      </w:pPr>
      <w:r w:rsidRPr="00E128D3">
        <w:t>brevets</w:t>
      </w:r>
      <w:r>
        <w:t> ;</w:t>
      </w:r>
    </w:p>
    <w:p w14:paraId="131B1176" w14:textId="17845B0C" w:rsidR="00E128D3" w:rsidRPr="00E128D3" w:rsidRDefault="00E128D3">
      <w:pPr>
        <w:numPr>
          <w:ilvl w:val="0"/>
          <w:numId w:val="5"/>
        </w:numPr>
        <w:spacing w:after="0" w:line="240" w:lineRule="auto"/>
      </w:pPr>
      <w:r w:rsidRPr="00E128D3">
        <w:t>licences</w:t>
      </w:r>
      <w:r>
        <w:t> ;</w:t>
      </w:r>
    </w:p>
    <w:p w14:paraId="107995CA" w14:textId="2B344498" w:rsidR="00E128D3" w:rsidRPr="00E128D3" w:rsidRDefault="00E128D3">
      <w:pPr>
        <w:numPr>
          <w:ilvl w:val="0"/>
          <w:numId w:val="5"/>
        </w:numPr>
        <w:spacing w:after="0" w:line="240" w:lineRule="auto"/>
      </w:pPr>
      <w:r w:rsidRPr="00E128D3">
        <w:t>marques</w:t>
      </w:r>
      <w:r>
        <w:t> ;</w:t>
      </w:r>
    </w:p>
    <w:p w14:paraId="23742985" w14:textId="7D60A66C" w:rsidR="00E128D3" w:rsidRPr="00E128D3" w:rsidRDefault="00E128D3">
      <w:pPr>
        <w:numPr>
          <w:ilvl w:val="0"/>
          <w:numId w:val="5"/>
        </w:numPr>
        <w:spacing w:after="0" w:line="240" w:lineRule="auto"/>
      </w:pPr>
      <w:r w:rsidRPr="00E128D3">
        <w:t>dessins et modèles</w:t>
      </w:r>
      <w:r>
        <w:t> ;</w:t>
      </w:r>
    </w:p>
    <w:p w14:paraId="3A69A391" w14:textId="77777777" w:rsidR="00E128D3" w:rsidRPr="00E128D3" w:rsidRDefault="00E128D3">
      <w:pPr>
        <w:numPr>
          <w:ilvl w:val="0"/>
          <w:numId w:val="5"/>
        </w:numPr>
        <w:spacing w:after="0" w:line="240" w:lineRule="auto"/>
      </w:pPr>
      <w:r w:rsidRPr="00E128D3">
        <w:t>plus généralement certains droits de propriété intellectuelle attachés au fonds. (</w:t>
      </w:r>
      <w:hyperlink r:id="rId10" w:tooltip="Article L142-2 - Code de commerce - Légifrance" w:history="1">
        <w:r w:rsidRPr="00E128D3">
          <w:rPr>
            <w:rStyle w:val="Lienhypertexte"/>
          </w:rPr>
          <w:t>Légifrance</w:t>
        </w:r>
      </w:hyperlink>
      <w:r w:rsidRPr="00E128D3">
        <w:t>)</w:t>
      </w:r>
    </w:p>
    <w:tbl>
      <w:tblPr>
        <w:tblStyle w:val="Grilledutableau"/>
        <w:tblW w:w="0" w:type="auto"/>
        <w:tblLook w:val="04A0" w:firstRow="1" w:lastRow="0" w:firstColumn="1" w:lastColumn="0" w:noHBand="0" w:noVBand="1"/>
      </w:tblPr>
      <w:tblGrid>
        <w:gridCol w:w="1663"/>
        <w:gridCol w:w="5754"/>
      </w:tblGrid>
      <w:tr w:rsidR="00E128D3" w:rsidRPr="00E128D3" w14:paraId="7B54C36D" w14:textId="77777777" w:rsidTr="00E128D3">
        <w:trPr>
          <w:tblHeader/>
        </w:trPr>
        <w:tc>
          <w:tcPr>
            <w:tcW w:w="0" w:type="auto"/>
            <w:hideMark/>
          </w:tcPr>
          <w:p w14:paraId="01B4B9C3"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Élément</w:t>
            </w:r>
          </w:p>
        </w:tc>
        <w:tc>
          <w:tcPr>
            <w:tcW w:w="0" w:type="auto"/>
            <w:hideMark/>
          </w:tcPr>
          <w:p w14:paraId="0D471747"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Fonction</w:t>
            </w:r>
          </w:p>
        </w:tc>
      </w:tr>
      <w:tr w:rsidR="00E128D3" w:rsidRPr="00E128D3" w14:paraId="38EA3872" w14:textId="77777777" w:rsidTr="00E128D3">
        <w:tc>
          <w:tcPr>
            <w:tcW w:w="0" w:type="auto"/>
            <w:hideMark/>
          </w:tcPr>
          <w:p w14:paraId="7DDA2C1D" w14:textId="77777777" w:rsidR="00E128D3" w:rsidRPr="00E128D3" w:rsidRDefault="00E128D3" w:rsidP="00E128D3">
            <w:pPr>
              <w:jc w:val="left"/>
              <w:rPr>
                <w:rFonts w:ascii="Calibri" w:hAnsi="Calibri" w:cs="Calibri"/>
                <w:sz w:val="20"/>
              </w:rPr>
            </w:pPr>
            <w:r w:rsidRPr="00E128D3">
              <w:rPr>
                <w:rFonts w:ascii="Calibri" w:hAnsi="Calibri" w:cs="Calibri"/>
                <w:sz w:val="20"/>
              </w:rPr>
              <w:t>Clientèle</w:t>
            </w:r>
          </w:p>
        </w:tc>
        <w:tc>
          <w:tcPr>
            <w:tcW w:w="0" w:type="auto"/>
            <w:hideMark/>
          </w:tcPr>
          <w:p w14:paraId="35DB4B73" w14:textId="77777777" w:rsidR="00E128D3" w:rsidRPr="00E128D3" w:rsidRDefault="00E128D3" w:rsidP="00E128D3">
            <w:pPr>
              <w:jc w:val="left"/>
              <w:rPr>
                <w:rFonts w:ascii="Calibri" w:hAnsi="Calibri" w:cs="Calibri"/>
                <w:sz w:val="20"/>
              </w:rPr>
            </w:pPr>
            <w:r w:rsidRPr="00E128D3">
              <w:rPr>
                <w:rFonts w:ascii="Calibri" w:hAnsi="Calibri" w:cs="Calibri"/>
                <w:sz w:val="20"/>
              </w:rPr>
              <w:t>Élément essentiel du fonds</w:t>
            </w:r>
          </w:p>
        </w:tc>
      </w:tr>
      <w:tr w:rsidR="00E128D3" w:rsidRPr="00E128D3" w14:paraId="53008672" w14:textId="77777777" w:rsidTr="00E128D3">
        <w:tc>
          <w:tcPr>
            <w:tcW w:w="0" w:type="auto"/>
            <w:hideMark/>
          </w:tcPr>
          <w:p w14:paraId="0C8433B3" w14:textId="77777777" w:rsidR="00E128D3" w:rsidRPr="00E128D3" w:rsidRDefault="00E128D3" w:rsidP="00E128D3">
            <w:pPr>
              <w:jc w:val="left"/>
              <w:rPr>
                <w:rFonts w:ascii="Calibri" w:hAnsi="Calibri" w:cs="Calibri"/>
                <w:sz w:val="20"/>
              </w:rPr>
            </w:pPr>
            <w:r w:rsidRPr="00E128D3">
              <w:rPr>
                <w:rFonts w:ascii="Calibri" w:hAnsi="Calibri" w:cs="Calibri"/>
                <w:sz w:val="20"/>
              </w:rPr>
              <w:t>Nom commercial</w:t>
            </w:r>
          </w:p>
        </w:tc>
        <w:tc>
          <w:tcPr>
            <w:tcW w:w="0" w:type="auto"/>
            <w:hideMark/>
          </w:tcPr>
          <w:p w14:paraId="46C01C0A" w14:textId="77777777" w:rsidR="00E128D3" w:rsidRPr="00E128D3" w:rsidRDefault="00E128D3" w:rsidP="00E128D3">
            <w:pPr>
              <w:jc w:val="left"/>
              <w:rPr>
                <w:rFonts w:ascii="Calibri" w:hAnsi="Calibri" w:cs="Calibri"/>
                <w:sz w:val="20"/>
              </w:rPr>
            </w:pPr>
            <w:r w:rsidRPr="00E128D3">
              <w:rPr>
                <w:rFonts w:ascii="Calibri" w:hAnsi="Calibri" w:cs="Calibri"/>
                <w:sz w:val="20"/>
              </w:rPr>
              <w:t>Identifie l’activité ou l’établissement dans les relations commerciales</w:t>
            </w:r>
          </w:p>
        </w:tc>
      </w:tr>
      <w:tr w:rsidR="00E128D3" w:rsidRPr="00E128D3" w14:paraId="3711719A" w14:textId="77777777" w:rsidTr="00E128D3">
        <w:tc>
          <w:tcPr>
            <w:tcW w:w="0" w:type="auto"/>
            <w:hideMark/>
          </w:tcPr>
          <w:p w14:paraId="5632A2F2" w14:textId="77777777" w:rsidR="00E128D3" w:rsidRPr="00E128D3" w:rsidRDefault="00E128D3" w:rsidP="00E128D3">
            <w:pPr>
              <w:jc w:val="left"/>
              <w:rPr>
                <w:rFonts w:ascii="Calibri" w:hAnsi="Calibri" w:cs="Calibri"/>
                <w:sz w:val="20"/>
              </w:rPr>
            </w:pPr>
            <w:r w:rsidRPr="00E128D3">
              <w:rPr>
                <w:rFonts w:ascii="Calibri" w:hAnsi="Calibri" w:cs="Calibri"/>
                <w:sz w:val="20"/>
              </w:rPr>
              <w:t>Enseigne</w:t>
            </w:r>
          </w:p>
        </w:tc>
        <w:tc>
          <w:tcPr>
            <w:tcW w:w="0" w:type="auto"/>
            <w:hideMark/>
          </w:tcPr>
          <w:p w14:paraId="6FA20E74" w14:textId="77777777" w:rsidR="00E128D3" w:rsidRPr="00E128D3" w:rsidRDefault="00E128D3" w:rsidP="00E128D3">
            <w:pPr>
              <w:jc w:val="left"/>
              <w:rPr>
                <w:rFonts w:ascii="Calibri" w:hAnsi="Calibri" w:cs="Calibri"/>
                <w:sz w:val="20"/>
              </w:rPr>
            </w:pPr>
            <w:r w:rsidRPr="00E128D3">
              <w:rPr>
                <w:rFonts w:ascii="Calibri" w:hAnsi="Calibri" w:cs="Calibri"/>
                <w:sz w:val="20"/>
              </w:rPr>
              <w:t>Identifie matériellement le lieu d’exploitation</w:t>
            </w:r>
          </w:p>
        </w:tc>
      </w:tr>
      <w:tr w:rsidR="00E128D3" w:rsidRPr="00E128D3" w14:paraId="25838CF6" w14:textId="77777777" w:rsidTr="00E128D3">
        <w:tc>
          <w:tcPr>
            <w:tcW w:w="0" w:type="auto"/>
            <w:hideMark/>
          </w:tcPr>
          <w:p w14:paraId="333FE55B" w14:textId="77777777" w:rsidR="00E128D3" w:rsidRPr="00E128D3" w:rsidRDefault="00E128D3" w:rsidP="00E128D3">
            <w:pPr>
              <w:jc w:val="left"/>
              <w:rPr>
                <w:rFonts w:ascii="Calibri" w:hAnsi="Calibri" w:cs="Calibri"/>
                <w:sz w:val="20"/>
              </w:rPr>
            </w:pPr>
            <w:r w:rsidRPr="00E128D3">
              <w:rPr>
                <w:rFonts w:ascii="Calibri" w:hAnsi="Calibri" w:cs="Calibri"/>
                <w:sz w:val="20"/>
              </w:rPr>
              <w:t>Droit au bail</w:t>
            </w:r>
          </w:p>
        </w:tc>
        <w:tc>
          <w:tcPr>
            <w:tcW w:w="0" w:type="auto"/>
            <w:hideMark/>
          </w:tcPr>
          <w:p w14:paraId="354EA7AE" w14:textId="77777777" w:rsidR="00E128D3" w:rsidRPr="00E128D3" w:rsidRDefault="00E128D3" w:rsidP="00E128D3">
            <w:pPr>
              <w:jc w:val="left"/>
              <w:rPr>
                <w:rFonts w:ascii="Calibri" w:hAnsi="Calibri" w:cs="Calibri"/>
                <w:sz w:val="20"/>
              </w:rPr>
            </w:pPr>
            <w:r w:rsidRPr="00E128D3">
              <w:rPr>
                <w:rFonts w:ascii="Calibri" w:hAnsi="Calibri" w:cs="Calibri"/>
                <w:sz w:val="20"/>
              </w:rPr>
              <w:t>Permet au commerçant locataire d'occuper les locaux</w:t>
            </w:r>
          </w:p>
        </w:tc>
      </w:tr>
      <w:tr w:rsidR="00E128D3" w:rsidRPr="00E128D3" w14:paraId="6721FDD8" w14:textId="77777777" w:rsidTr="00E128D3">
        <w:tc>
          <w:tcPr>
            <w:tcW w:w="0" w:type="auto"/>
            <w:hideMark/>
          </w:tcPr>
          <w:p w14:paraId="42C38F89" w14:textId="77777777" w:rsidR="00E128D3" w:rsidRPr="00E128D3" w:rsidRDefault="00E128D3" w:rsidP="00E128D3">
            <w:pPr>
              <w:jc w:val="left"/>
              <w:rPr>
                <w:rFonts w:ascii="Calibri" w:hAnsi="Calibri" w:cs="Calibri"/>
                <w:sz w:val="20"/>
              </w:rPr>
            </w:pPr>
            <w:r w:rsidRPr="00E128D3">
              <w:rPr>
                <w:rFonts w:ascii="Calibri" w:hAnsi="Calibri" w:cs="Calibri"/>
                <w:sz w:val="20"/>
              </w:rPr>
              <w:t>Marque</w:t>
            </w:r>
          </w:p>
        </w:tc>
        <w:tc>
          <w:tcPr>
            <w:tcW w:w="0" w:type="auto"/>
            <w:hideMark/>
          </w:tcPr>
          <w:p w14:paraId="63665043" w14:textId="77777777" w:rsidR="00E128D3" w:rsidRPr="00E128D3" w:rsidRDefault="00E128D3" w:rsidP="00E128D3">
            <w:pPr>
              <w:jc w:val="left"/>
              <w:rPr>
                <w:rFonts w:ascii="Calibri" w:hAnsi="Calibri" w:cs="Calibri"/>
                <w:sz w:val="20"/>
              </w:rPr>
            </w:pPr>
            <w:r w:rsidRPr="00E128D3">
              <w:rPr>
                <w:rFonts w:ascii="Calibri" w:hAnsi="Calibri" w:cs="Calibri"/>
                <w:sz w:val="20"/>
              </w:rPr>
              <w:t>Distingue des produits ou services</w:t>
            </w:r>
          </w:p>
        </w:tc>
      </w:tr>
      <w:tr w:rsidR="00E128D3" w:rsidRPr="00E128D3" w14:paraId="73F95AA7" w14:textId="77777777" w:rsidTr="00E128D3">
        <w:tc>
          <w:tcPr>
            <w:tcW w:w="0" w:type="auto"/>
            <w:hideMark/>
          </w:tcPr>
          <w:p w14:paraId="1E1429B4" w14:textId="77777777" w:rsidR="00E128D3" w:rsidRPr="00E128D3" w:rsidRDefault="00E128D3" w:rsidP="00E128D3">
            <w:pPr>
              <w:jc w:val="left"/>
              <w:rPr>
                <w:rFonts w:ascii="Calibri" w:hAnsi="Calibri" w:cs="Calibri"/>
                <w:sz w:val="20"/>
              </w:rPr>
            </w:pPr>
            <w:r w:rsidRPr="00E128D3">
              <w:rPr>
                <w:rFonts w:ascii="Calibri" w:hAnsi="Calibri" w:cs="Calibri"/>
                <w:sz w:val="20"/>
              </w:rPr>
              <w:t>Brevet</w:t>
            </w:r>
          </w:p>
        </w:tc>
        <w:tc>
          <w:tcPr>
            <w:tcW w:w="0" w:type="auto"/>
            <w:hideMark/>
          </w:tcPr>
          <w:p w14:paraId="069096E4" w14:textId="77777777" w:rsidR="00E128D3" w:rsidRPr="00E128D3" w:rsidRDefault="00E128D3" w:rsidP="00E128D3">
            <w:pPr>
              <w:jc w:val="left"/>
              <w:rPr>
                <w:rFonts w:ascii="Calibri" w:hAnsi="Calibri" w:cs="Calibri"/>
                <w:sz w:val="20"/>
              </w:rPr>
            </w:pPr>
            <w:r w:rsidRPr="00E128D3">
              <w:rPr>
                <w:rFonts w:ascii="Calibri" w:hAnsi="Calibri" w:cs="Calibri"/>
                <w:sz w:val="20"/>
              </w:rPr>
              <w:t>Protège une invention sous conditions</w:t>
            </w:r>
          </w:p>
        </w:tc>
      </w:tr>
      <w:tr w:rsidR="00E128D3" w:rsidRPr="00E128D3" w14:paraId="5DE414A9" w14:textId="77777777" w:rsidTr="00E128D3">
        <w:tc>
          <w:tcPr>
            <w:tcW w:w="0" w:type="auto"/>
            <w:hideMark/>
          </w:tcPr>
          <w:p w14:paraId="4017B0DA" w14:textId="77777777" w:rsidR="00E128D3" w:rsidRPr="00E128D3" w:rsidRDefault="00E128D3" w:rsidP="00E128D3">
            <w:pPr>
              <w:jc w:val="left"/>
              <w:rPr>
                <w:rFonts w:ascii="Calibri" w:hAnsi="Calibri" w:cs="Calibri"/>
                <w:sz w:val="20"/>
              </w:rPr>
            </w:pPr>
            <w:r w:rsidRPr="00E128D3">
              <w:rPr>
                <w:rFonts w:ascii="Calibri" w:hAnsi="Calibri" w:cs="Calibri"/>
                <w:sz w:val="20"/>
              </w:rPr>
              <w:t>Dessin ou modèle</w:t>
            </w:r>
          </w:p>
        </w:tc>
        <w:tc>
          <w:tcPr>
            <w:tcW w:w="0" w:type="auto"/>
            <w:hideMark/>
          </w:tcPr>
          <w:p w14:paraId="67E88285" w14:textId="77777777" w:rsidR="00E128D3" w:rsidRPr="00E128D3" w:rsidRDefault="00E128D3" w:rsidP="00E128D3">
            <w:pPr>
              <w:jc w:val="left"/>
              <w:rPr>
                <w:rFonts w:ascii="Calibri" w:hAnsi="Calibri" w:cs="Calibri"/>
                <w:sz w:val="20"/>
              </w:rPr>
            </w:pPr>
            <w:r w:rsidRPr="00E128D3">
              <w:rPr>
                <w:rFonts w:ascii="Calibri" w:hAnsi="Calibri" w:cs="Calibri"/>
                <w:sz w:val="20"/>
              </w:rPr>
              <w:t>Protège l'apparence d'un produit sous conditions</w:t>
            </w:r>
          </w:p>
        </w:tc>
      </w:tr>
    </w:tbl>
    <w:p w14:paraId="11F98A43" w14:textId="0D605388" w:rsidR="00E128D3" w:rsidRPr="00E128D3" w:rsidRDefault="00E128D3" w:rsidP="00E128D3">
      <w:pPr>
        <w:spacing w:after="0" w:line="240" w:lineRule="auto"/>
      </w:pPr>
      <w:r w:rsidRPr="00E128D3">
        <w:t xml:space="preserve">Les droits de propriété intellectuelle ont été étudiés en </w:t>
      </w:r>
      <w:r w:rsidRPr="00E128D3">
        <w:rPr>
          <w:b/>
          <w:bCs/>
        </w:rPr>
        <w:t xml:space="preserve">FONDAMENTAUX DU DROIT </w:t>
      </w:r>
      <w:r>
        <w:rPr>
          <w:b/>
          <w:bCs/>
        </w:rPr>
        <w:t>-</w:t>
      </w:r>
      <w:r w:rsidRPr="00E128D3">
        <w:rPr>
          <w:b/>
          <w:bCs/>
        </w:rPr>
        <w:t xml:space="preserve"> Fiche 5</w:t>
      </w:r>
      <w:r w:rsidRPr="00E128D3">
        <w:t>.</w:t>
      </w:r>
    </w:p>
    <w:p w14:paraId="2D39F146" w14:textId="77777777" w:rsidR="00E128D3" w:rsidRPr="00E128D3" w:rsidRDefault="00E128D3" w:rsidP="00E128D3">
      <w:pPr>
        <w:pStyle w:val="Titre1"/>
      </w:pPr>
      <w:r w:rsidRPr="00E128D3">
        <w:t>5. Les principaux éléments corporels</w:t>
      </w:r>
    </w:p>
    <w:p w14:paraId="22E9E877" w14:textId="58874A19" w:rsidR="00E128D3" w:rsidRPr="00E128D3" w:rsidRDefault="00E128D3" w:rsidP="00E128D3">
      <w:pPr>
        <w:spacing w:after="0" w:line="240" w:lineRule="auto"/>
      </w:pPr>
      <w:r w:rsidRPr="00E128D3">
        <w:t>Le fonds peut également comprendre des éléments corporels utiles à l’exploitation</w:t>
      </w:r>
      <w:r>
        <w:t> :</w:t>
      </w:r>
    </w:p>
    <w:p w14:paraId="0287F580" w14:textId="6E4A6D0E" w:rsidR="00E128D3" w:rsidRPr="00E128D3" w:rsidRDefault="00E128D3">
      <w:pPr>
        <w:numPr>
          <w:ilvl w:val="0"/>
          <w:numId w:val="6"/>
        </w:numPr>
        <w:spacing w:after="0" w:line="240" w:lineRule="auto"/>
      </w:pPr>
      <w:r w:rsidRPr="00E128D3">
        <w:t>mobilier commercial</w:t>
      </w:r>
      <w:r>
        <w:t> ;</w:t>
      </w:r>
    </w:p>
    <w:p w14:paraId="34E1E1EE" w14:textId="0B778F87" w:rsidR="00E128D3" w:rsidRPr="00E128D3" w:rsidRDefault="00E128D3">
      <w:pPr>
        <w:numPr>
          <w:ilvl w:val="0"/>
          <w:numId w:val="6"/>
        </w:numPr>
        <w:spacing w:after="0" w:line="240" w:lineRule="auto"/>
      </w:pPr>
      <w:r w:rsidRPr="00E128D3">
        <w:t>matériel</w:t>
      </w:r>
      <w:r>
        <w:t> ;</w:t>
      </w:r>
    </w:p>
    <w:p w14:paraId="58A5244E" w14:textId="534475CD" w:rsidR="00E128D3" w:rsidRPr="00E128D3" w:rsidRDefault="00E128D3">
      <w:pPr>
        <w:numPr>
          <w:ilvl w:val="0"/>
          <w:numId w:val="6"/>
        </w:numPr>
        <w:spacing w:after="0" w:line="240" w:lineRule="auto"/>
      </w:pPr>
      <w:r w:rsidRPr="00E128D3">
        <w:t>outillage</w:t>
      </w:r>
      <w:r>
        <w:t> ;</w:t>
      </w:r>
    </w:p>
    <w:p w14:paraId="526EA1B2" w14:textId="77777777" w:rsidR="00E128D3" w:rsidRPr="00E128D3" w:rsidRDefault="00E128D3">
      <w:pPr>
        <w:numPr>
          <w:ilvl w:val="0"/>
          <w:numId w:val="6"/>
        </w:numPr>
        <w:spacing w:after="0" w:line="240" w:lineRule="auto"/>
      </w:pPr>
      <w:r w:rsidRPr="00E128D3">
        <w:t>marchandises.</w:t>
      </w:r>
    </w:p>
    <w:p w14:paraId="793E0FF0" w14:textId="77777777" w:rsidR="00E128D3" w:rsidRPr="00E128D3" w:rsidRDefault="00E128D3" w:rsidP="00E128D3">
      <w:pPr>
        <w:spacing w:after="0" w:line="240" w:lineRule="auto"/>
      </w:pPr>
      <w:r w:rsidRPr="00E128D3">
        <w:t>L’article L. 142-2 mentionne expressément le mobilier commercial, le matériel et l’outillage parmi les éléments susceptibles d’être compris dans le nantissement du fonds. (</w:t>
      </w:r>
      <w:hyperlink r:id="rId11" w:tooltip="Article L142-2 - Code de commerce - Légifrance" w:history="1">
        <w:r w:rsidRPr="00E128D3">
          <w:rPr>
            <w:rStyle w:val="Lienhypertexte"/>
          </w:rPr>
          <w:t>Légifrance</w:t>
        </w:r>
      </w:hyperlink>
      <w:r w:rsidRPr="00E128D3">
        <w:t>)</w:t>
      </w:r>
    </w:p>
    <w:p w14:paraId="5CF66811" w14:textId="77777777" w:rsidR="00E128D3" w:rsidRPr="00E128D3" w:rsidRDefault="00E128D3" w:rsidP="00E128D3">
      <w:pPr>
        <w:spacing w:after="0" w:line="240" w:lineRule="auto"/>
        <w:rPr>
          <w:b/>
          <w:bCs/>
        </w:rPr>
      </w:pPr>
      <w:r w:rsidRPr="00E128D3">
        <w:rPr>
          <w:b/>
          <w:bCs/>
        </w:rPr>
        <w:t>Exemple</w:t>
      </w:r>
    </w:p>
    <w:p w14:paraId="74033402" w14:textId="0445D782" w:rsidR="00E128D3" w:rsidRPr="00E128D3" w:rsidRDefault="00E128D3" w:rsidP="00E128D3">
      <w:pPr>
        <w:spacing w:after="0" w:line="240" w:lineRule="auto"/>
      </w:pPr>
      <w:r w:rsidRPr="00E128D3">
        <w:t>Dans un restaurant</w:t>
      </w:r>
      <w:r>
        <w:t> :</w:t>
      </w:r>
    </w:p>
    <w:p w14:paraId="39EF16C8" w14:textId="2A4078A3" w:rsidR="00E128D3" w:rsidRPr="00E128D3" w:rsidRDefault="00E128D3">
      <w:pPr>
        <w:numPr>
          <w:ilvl w:val="0"/>
          <w:numId w:val="7"/>
        </w:numPr>
        <w:spacing w:after="0" w:line="240" w:lineRule="auto"/>
      </w:pPr>
      <w:r w:rsidRPr="00E128D3">
        <w:t>tables</w:t>
      </w:r>
      <w:r>
        <w:t> ;</w:t>
      </w:r>
    </w:p>
    <w:p w14:paraId="2449B96B" w14:textId="4C4E99C9" w:rsidR="00E128D3" w:rsidRPr="00E128D3" w:rsidRDefault="00E128D3">
      <w:pPr>
        <w:numPr>
          <w:ilvl w:val="0"/>
          <w:numId w:val="7"/>
        </w:numPr>
        <w:spacing w:after="0" w:line="240" w:lineRule="auto"/>
      </w:pPr>
      <w:r w:rsidRPr="00E128D3">
        <w:t>chaises</w:t>
      </w:r>
      <w:r>
        <w:t> ;</w:t>
      </w:r>
    </w:p>
    <w:p w14:paraId="3B5B11A4" w14:textId="72256403" w:rsidR="00E128D3" w:rsidRPr="00E128D3" w:rsidRDefault="00E128D3">
      <w:pPr>
        <w:numPr>
          <w:ilvl w:val="0"/>
          <w:numId w:val="7"/>
        </w:numPr>
        <w:spacing w:after="0" w:line="240" w:lineRule="auto"/>
      </w:pPr>
      <w:r w:rsidRPr="00E128D3">
        <w:t>équipements de cuisine</w:t>
      </w:r>
      <w:r>
        <w:t> ;</w:t>
      </w:r>
    </w:p>
    <w:p w14:paraId="2FC09D44" w14:textId="45394E9D" w:rsidR="00E128D3" w:rsidRPr="00E128D3" w:rsidRDefault="00E128D3">
      <w:pPr>
        <w:numPr>
          <w:ilvl w:val="0"/>
          <w:numId w:val="7"/>
        </w:numPr>
        <w:spacing w:after="0" w:line="240" w:lineRule="auto"/>
      </w:pPr>
      <w:r w:rsidRPr="00E128D3">
        <w:t>caisse</w:t>
      </w:r>
      <w:r>
        <w:t> ;</w:t>
      </w:r>
    </w:p>
    <w:p w14:paraId="0B5E07A2" w14:textId="77777777" w:rsidR="00E128D3" w:rsidRPr="00E128D3" w:rsidRDefault="00E128D3">
      <w:pPr>
        <w:numPr>
          <w:ilvl w:val="0"/>
          <w:numId w:val="7"/>
        </w:numPr>
        <w:spacing w:after="0" w:line="240" w:lineRule="auto"/>
      </w:pPr>
      <w:r w:rsidRPr="00E128D3">
        <w:t>matériel professionnel</w:t>
      </w:r>
    </w:p>
    <w:p w14:paraId="315781BB" w14:textId="77777777" w:rsidR="00E128D3" w:rsidRPr="00E128D3" w:rsidRDefault="00E128D3" w:rsidP="00E128D3">
      <w:pPr>
        <w:spacing w:after="0" w:line="240" w:lineRule="auto"/>
      </w:pPr>
      <w:r w:rsidRPr="00E128D3">
        <w:t>peuvent constituer des éléments corporels liés à l’exploitation.</w:t>
      </w:r>
    </w:p>
    <w:p w14:paraId="0518BF66" w14:textId="77777777" w:rsidR="00E128D3" w:rsidRPr="00E128D3" w:rsidRDefault="00E128D3" w:rsidP="00E128D3">
      <w:pPr>
        <w:pStyle w:val="Titre1"/>
      </w:pPr>
      <w:r w:rsidRPr="00E128D3">
        <w:t>6. Certains biens ne font pas partie du fonds</w:t>
      </w:r>
    </w:p>
    <w:p w14:paraId="21736514" w14:textId="77777777" w:rsidR="00E128D3" w:rsidRPr="00E128D3" w:rsidRDefault="00E128D3" w:rsidP="00E128D3">
      <w:pPr>
        <w:spacing w:after="0" w:line="240" w:lineRule="auto"/>
      </w:pPr>
      <w:r w:rsidRPr="00E128D3">
        <w:t>Il faut éviter d’englober automatiquement dans le fonds tous les éléments liés économiquement à l’entreprise.</w:t>
      </w:r>
    </w:p>
    <w:tbl>
      <w:tblPr>
        <w:tblStyle w:val="Grilledutableau"/>
        <w:tblW w:w="0" w:type="auto"/>
        <w:tblLook w:val="04A0" w:firstRow="1" w:lastRow="0" w:firstColumn="1" w:lastColumn="0" w:noHBand="0" w:noVBand="1"/>
      </w:tblPr>
      <w:tblGrid>
        <w:gridCol w:w="1933"/>
        <w:gridCol w:w="3463"/>
      </w:tblGrid>
      <w:tr w:rsidR="00E128D3" w:rsidRPr="00E128D3" w14:paraId="31378843" w14:textId="77777777" w:rsidTr="00E128D3">
        <w:trPr>
          <w:tblHeader/>
        </w:trPr>
        <w:tc>
          <w:tcPr>
            <w:tcW w:w="0" w:type="auto"/>
            <w:hideMark/>
          </w:tcPr>
          <w:p w14:paraId="62F96C82"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Élément</w:t>
            </w:r>
          </w:p>
        </w:tc>
        <w:tc>
          <w:tcPr>
            <w:tcW w:w="0" w:type="auto"/>
            <w:hideMark/>
          </w:tcPr>
          <w:p w14:paraId="15C49291" w14:textId="586F7848" w:rsidR="00E128D3" w:rsidRPr="00E128D3" w:rsidRDefault="00E128D3" w:rsidP="00E128D3">
            <w:pPr>
              <w:jc w:val="left"/>
              <w:rPr>
                <w:rFonts w:ascii="Calibri" w:hAnsi="Calibri" w:cs="Calibri"/>
                <w:b/>
                <w:bCs/>
                <w:sz w:val="20"/>
              </w:rPr>
            </w:pPr>
            <w:r w:rsidRPr="00E128D3">
              <w:rPr>
                <w:rFonts w:ascii="Calibri" w:hAnsi="Calibri" w:cs="Calibri"/>
                <w:b/>
                <w:bCs/>
                <w:sz w:val="20"/>
              </w:rPr>
              <w:t>Appartient en principe au fonds</w:t>
            </w:r>
            <w:r w:rsidRPr="00E128D3">
              <w:rPr>
                <w:rFonts w:ascii="Calibri" w:hAnsi="Calibri" w:cs="Calibri"/>
                <w:b/>
                <w:bCs/>
                <w:sz w:val="20"/>
              </w:rPr>
              <w:t> ?</w:t>
            </w:r>
          </w:p>
        </w:tc>
      </w:tr>
      <w:tr w:rsidR="00E128D3" w:rsidRPr="00E128D3" w14:paraId="435D67F5" w14:textId="77777777" w:rsidTr="00E128D3">
        <w:tc>
          <w:tcPr>
            <w:tcW w:w="0" w:type="auto"/>
            <w:hideMark/>
          </w:tcPr>
          <w:p w14:paraId="3A734609" w14:textId="77777777" w:rsidR="00E128D3" w:rsidRPr="00E128D3" w:rsidRDefault="00E128D3" w:rsidP="00E128D3">
            <w:pPr>
              <w:jc w:val="left"/>
              <w:rPr>
                <w:rFonts w:ascii="Calibri" w:hAnsi="Calibri" w:cs="Calibri"/>
                <w:sz w:val="20"/>
              </w:rPr>
            </w:pPr>
            <w:r w:rsidRPr="00E128D3">
              <w:rPr>
                <w:rFonts w:ascii="Calibri" w:hAnsi="Calibri" w:cs="Calibri"/>
                <w:sz w:val="20"/>
              </w:rPr>
              <w:t>Clientèle</w:t>
            </w:r>
          </w:p>
        </w:tc>
        <w:tc>
          <w:tcPr>
            <w:tcW w:w="0" w:type="auto"/>
            <w:hideMark/>
          </w:tcPr>
          <w:p w14:paraId="73529CFC" w14:textId="77777777" w:rsidR="00E128D3" w:rsidRPr="00E128D3" w:rsidRDefault="00E128D3" w:rsidP="00E128D3">
            <w:pPr>
              <w:jc w:val="left"/>
              <w:rPr>
                <w:rFonts w:ascii="Calibri" w:hAnsi="Calibri" w:cs="Calibri"/>
                <w:sz w:val="20"/>
              </w:rPr>
            </w:pPr>
            <w:r w:rsidRPr="00E128D3">
              <w:rPr>
                <w:rFonts w:ascii="Calibri" w:hAnsi="Calibri" w:cs="Calibri"/>
                <w:sz w:val="20"/>
              </w:rPr>
              <w:t>Oui, élément indispensable</w:t>
            </w:r>
          </w:p>
        </w:tc>
      </w:tr>
      <w:tr w:rsidR="00E128D3" w:rsidRPr="00E128D3" w14:paraId="58D43F4D" w14:textId="77777777" w:rsidTr="00E128D3">
        <w:tc>
          <w:tcPr>
            <w:tcW w:w="0" w:type="auto"/>
            <w:hideMark/>
          </w:tcPr>
          <w:p w14:paraId="7169F7F2" w14:textId="77777777" w:rsidR="00E128D3" w:rsidRPr="00E128D3" w:rsidRDefault="00E128D3" w:rsidP="00E128D3">
            <w:pPr>
              <w:jc w:val="left"/>
              <w:rPr>
                <w:rFonts w:ascii="Calibri" w:hAnsi="Calibri" w:cs="Calibri"/>
                <w:sz w:val="20"/>
              </w:rPr>
            </w:pPr>
            <w:r w:rsidRPr="00E128D3">
              <w:rPr>
                <w:rFonts w:ascii="Calibri" w:hAnsi="Calibri" w:cs="Calibri"/>
                <w:sz w:val="20"/>
              </w:rPr>
              <w:lastRenderedPageBreak/>
              <w:t>Matériel</w:t>
            </w:r>
          </w:p>
        </w:tc>
        <w:tc>
          <w:tcPr>
            <w:tcW w:w="0" w:type="auto"/>
            <w:hideMark/>
          </w:tcPr>
          <w:p w14:paraId="0959E5DF" w14:textId="77777777" w:rsidR="00E128D3" w:rsidRPr="00E128D3" w:rsidRDefault="00E128D3" w:rsidP="00E128D3">
            <w:pPr>
              <w:jc w:val="left"/>
              <w:rPr>
                <w:rFonts w:ascii="Calibri" w:hAnsi="Calibri" w:cs="Calibri"/>
                <w:sz w:val="20"/>
              </w:rPr>
            </w:pPr>
            <w:r w:rsidRPr="00E128D3">
              <w:rPr>
                <w:rFonts w:ascii="Calibri" w:hAnsi="Calibri" w:cs="Calibri"/>
                <w:sz w:val="20"/>
              </w:rPr>
              <w:t>Oui</w:t>
            </w:r>
          </w:p>
        </w:tc>
      </w:tr>
      <w:tr w:rsidR="00E128D3" w:rsidRPr="00E128D3" w14:paraId="080FC53F" w14:textId="77777777" w:rsidTr="00E128D3">
        <w:tc>
          <w:tcPr>
            <w:tcW w:w="0" w:type="auto"/>
            <w:hideMark/>
          </w:tcPr>
          <w:p w14:paraId="618D5C04" w14:textId="77777777" w:rsidR="00E128D3" w:rsidRPr="00E128D3" w:rsidRDefault="00E128D3" w:rsidP="00E128D3">
            <w:pPr>
              <w:jc w:val="left"/>
              <w:rPr>
                <w:rFonts w:ascii="Calibri" w:hAnsi="Calibri" w:cs="Calibri"/>
                <w:sz w:val="20"/>
              </w:rPr>
            </w:pPr>
            <w:r w:rsidRPr="00E128D3">
              <w:rPr>
                <w:rFonts w:ascii="Calibri" w:hAnsi="Calibri" w:cs="Calibri"/>
                <w:sz w:val="20"/>
              </w:rPr>
              <w:t>Droit au bail</w:t>
            </w:r>
          </w:p>
        </w:tc>
        <w:tc>
          <w:tcPr>
            <w:tcW w:w="0" w:type="auto"/>
            <w:hideMark/>
          </w:tcPr>
          <w:p w14:paraId="070FE6A4" w14:textId="77777777" w:rsidR="00E128D3" w:rsidRPr="00E128D3" w:rsidRDefault="00E128D3" w:rsidP="00E128D3">
            <w:pPr>
              <w:jc w:val="left"/>
              <w:rPr>
                <w:rFonts w:ascii="Calibri" w:hAnsi="Calibri" w:cs="Calibri"/>
                <w:sz w:val="20"/>
              </w:rPr>
            </w:pPr>
            <w:r w:rsidRPr="00E128D3">
              <w:rPr>
                <w:rFonts w:ascii="Calibri" w:hAnsi="Calibri" w:cs="Calibri"/>
                <w:sz w:val="20"/>
              </w:rPr>
              <w:t>Oui lorsqu’il existe</w:t>
            </w:r>
          </w:p>
        </w:tc>
      </w:tr>
      <w:tr w:rsidR="00E128D3" w:rsidRPr="00E128D3" w14:paraId="67933A16" w14:textId="77777777" w:rsidTr="00E128D3">
        <w:tc>
          <w:tcPr>
            <w:tcW w:w="0" w:type="auto"/>
            <w:hideMark/>
          </w:tcPr>
          <w:p w14:paraId="600EC70B" w14:textId="77777777" w:rsidR="00E128D3" w:rsidRPr="00E128D3" w:rsidRDefault="00E128D3" w:rsidP="00E128D3">
            <w:pPr>
              <w:jc w:val="left"/>
              <w:rPr>
                <w:rFonts w:ascii="Calibri" w:hAnsi="Calibri" w:cs="Calibri"/>
                <w:sz w:val="20"/>
              </w:rPr>
            </w:pPr>
            <w:r w:rsidRPr="00E128D3">
              <w:rPr>
                <w:rFonts w:ascii="Calibri" w:hAnsi="Calibri" w:cs="Calibri"/>
                <w:sz w:val="20"/>
              </w:rPr>
              <w:t>Marque exploitée</w:t>
            </w:r>
          </w:p>
        </w:tc>
        <w:tc>
          <w:tcPr>
            <w:tcW w:w="0" w:type="auto"/>
            <w:hideMark/>
          </w:tcPr>
          <w:p w14:paraId="31F6E3F0" w14:textId="77777777" w:rsidR="00E128D3" w:rsidRPr="00E128D3" w:rsidRDefault="00E128D3" w:rsidP="00E128D3">
            <w:pPr>
              <w:jc w:val="left"/>
              <w:rPr>
                <w:rFonts w:ascii="Calibri" w:hAnsi="Calibri" w:cs="Calibri"/>
                <w:sz w:val="20"/>
              </w:rPr>
            </w:pPr>
            <w:r w:rsidRPr="00E128D3">
              <w:rPr>
                <w:rFonts w:ascii="Calibri" w:hAnsi="Calibri" w:cs="Calibri"/>
                <w:sz w:val="20"/>
              </w:rPr>
              <w:t>Peut en faire partie</w:t>
            </w:r>
          </w:p>
        </w:tc>
      </w:tr>
      <w:tr w:rsidR="00E128D3" w:rsidRPr="00E128D3" w14:paraId="38A5D606" w14:textId="77777777" w:rsidTr="00E128D3">
        <w:tc>
          <w:tcPr>
            <w:tcW w:w="0" w:type="auto"/>
            <w:hideMark/>
          </w:tcPr>
          <w:p w14:paraId="16285E46" w14:textId="77777777" w:rsidR="00E128D3" w:rsidRPr="00E128D3" w:rsidRDefault="00E128D3" w:rsidP="00E128D3">
            <w:pPr>
              <w:jc w:val="left"/>
              <w:rPr>
                <w:rFonts w:ascii="Calibri" w:hAnsi="Calibri" w:cs="Calibri"/>
                <w:sz w:val="20"/>
              </w:rPr>
            </w:pPr>
            <w:r w:rsidRPr="00E128D3">
              <w:rPr>
                <w:rFonts w:ascii="Calibri" w:hAnsi="Calibri" w:cs="Calibri"/>
                <w:sz w:val="20"/>
              </w:rPr>
              <w:t>Immeuble</w:t>
            </w:r>
          </w:p>
        </w:tc>
        <w:tc>
          <w:tcPr>
            <w:tcW w:w="0" w:type="auto"/>
            <w:hideMark/>
          </w:tcPr>
          <w:p w14:paraId="25B555B5" w14:textId="77777777" w:rsidR="00E128D3" w:rsidRPr="00E128D3" w:rsidRDefault="00E128D3" w:rsidP="00E128D3">
            <w:pPr>
              <w:jc w:val="left"/>
              <w:rPr>
                <w:rFonts w:ascii="Calibri" w:hAnsi="Calibri" w:cs="Calibri"/>
                <w:sz w:val="20"/>
              </w:rPr>
            </w:pPr>
            <w:r w:rsidRPr="00E128D3">
              <w:rPr>
                <w:rFonts w:ascii="Calibri" w:hAnsi="Calibri" w:cs="Calibri"/>
                <w:b/>
                <w:bCs/>
                <w:sz w:val="20"/>
              </w:rPr>
              <w:t>Non</w:t>
            </w:r>
          </w:p>
        </w:tc>
      </w:tr>
      <w:tr w:rsidR="00E128D3" w:rsidRPr="00E128D3" w14:paraId="064A2434" w14:textId="77777777" w:rsidTr="00E128D3">
        <w:tc>
          <w:tcPr>
            <w:tcW w:w="0" w:type="auto"/>
            <w:hideMark/>
          </w:tcPr>
          <w:p w14:paraId="4D1072C7" w14:textId="77777777" w:rsidR="00E128D3" w:rsidRPr="00E128D3" w:rsidRDefault="00E128D3" w:rsidP="00E128D3">
            <w:pPr>
              <w:jc w:val="left"/>
              <w:rPr>
                <w:rFonts w:ascii="Calibri" w:hAnsi="Calibri" w:cs="Calibri"/>
                <w:sz w:val="20"/>
              </w:rPr>
            </w:pPr>
            <w:r w:rsidRPr="00E128D3">
              <w:rPr>
                <w:rFonts w:ascii="Calibri" w:hAnsi="Calibri" w:cs="Calibri"/>
                <w:sz w:val="20"/>
              </w:rPr>
              <w:t>Dettes de l’exploitant</w:t>
            </w:r>
          </w:p>
        </w:tc>
        <w:tc>
          <w:tcPr>
            <w:tcW w:w="0" w:type="auto"/>
            <w:hideMark/>
          </w:tcPr>
          <w:p w14:paraId="0B102AE4" w14:textId="77777777" w:rsidR="00E128D3" w:rsidRPr="00E128D3" w:rsidRDefault="00E128D3" w:rsidP="00E128D3">
            <w:pPr>
              <w:jc w:val="left"/>
              <w:rPr>
                <w:rFonts w:ascii="Calibri" w:hAnsi="Calibri" w:cs="Calibri"/>
                <w:sz w:val="20"/>
              </w:rPr>
            </w:pPr>
            <w:r w:rsidRPr="00E128D3">
              <w:rPr>
                <w:rFonts w:ascii="Calibri" w:hAnsi="Calibri" w:cs="Calibri"/>
                <w:b/>
                <w:bCs/>
                <w:sz w:val="20"/>
              </w:rPr>
              <w:t>Non automatiquement</w:t>
            </w:r>
          </w:p>
        </w:tc>
      </w:tr>
      <w:tr w:rsidR="00E128D3" w:rsidRPr="00E128D3" w14:paraId="52A717AB" w14:textId="77777777" w:rsidTr="00E128D3">
        <w:tc>
          <w:tcPr>
            <w:tcW w:w="0" w:type="auto"/>
            <w:hideMark/>
          </w:tcPr>
          <w:p w14:paraId="655B9B48" w14:textId="77777777" w:rsidR="00E128D3" w:rsidRPr="00E128D3" w:rsidRDefault="00E128D3" w:rsidP="00E128D3">
            <w:pPr>
              <w:jc w:val="left"/>
              <w:rPr>
                <w:rFonts w:ascii="Calibri" w:hAnsi="Calibri" w:cs="Calibri"/>
                <w:sz w:val="20"/>
              </w:rPr>
            </w:pPr>
            <w:r w:rsidRPr="00E128D3">
              <w:rPr>
                <w:rFonts w:ascii="Calibri" w:hAnsi="Calibri" w:cs="Calibri"/>
                <w:sz w:val="20"/>
              </w:rPr>
              <w:t>Créances</w:t>
            </w:r>
          </w:p>
        </w:tc>
        <w:tc>
          <w:tcPr>
            <w:tcW w:w="0" w:type="auto"/>
            <w:hideMark/>
          </w:tcPr>
          <w:p w14:paraId="0661026F" w14:textId="77777777" w:rsidR="00E128D3" w:rsidRPr="00E128D3" w:rsidRDefault="00E128D3" w:rsidP="00E128D3">
            <w:pPr>
              <w:jc w:val="left"/>
              <w:rPr>
                <w:rFonts w:ascii="Calibri" w:hAnsi="Calibri" w:cs="Calibri"/>
                <w:sz w:val="20"/>
              </w:rPr>
            </w:pPr>
            <w:r w:rsidRPr="00E128D3">
              <w:rPr>
                <w:rFonts w:ascii="Calibri" w:hAnsi="Calibri" w:cs="Calibri"/>
                <w:b/>
                <w:bCs/>
                <w:sz w:val="20"/>
              </w:rPr>
              <w:t>Non automatiquement</w:t>
            </w:r>
          </w:p>
        </w:tc>
      </w:tr>
      <w:tr w:rsidR="00E128D3" w:rsidRPr="00E128D3" w14:paraId="740C980B" w14:textId="77777777" w:rsidTr="00E128D3">
        <w:tc>
          <w:tcPr>
            <w:tcW w:w="0" w:type="auto"/>
            <w:hideMark/>
          </w:tcPr>
          <w:p w14:paraId="6F43CF90" w14:textId="77777777" w:rsidR="00E128D3" w:rsidRPr="00E128D3" w:rsidRDefault="00E128D3" w:rsidP="00E128D3">
            <w:pPr>
              <w:jc w:val="left"/>
              <w:rPr>
                <w:rFonts w:ascii="Calibri" w:hAnsi="Calibri" w:cs="Calibri"/>
                <w:sz w:val="20"/>
              </w:rPr>
            </w:pPr>
            <w:r w:rsidRPr="00E128D3">
              <w:rPr>
                <w:rFonts w:ascii="Calibri" w:hAnsi="Calibri" w:cs="Calibri"/>
                <w:sz w:val="20"/>
              </w:rPr>
              <w:t>Contrats</w:t>
            </w:r>
          </w:p>
        </w:tc>
        <w:tc>
          <w:tcPr>
            <w:tcW w:w="0" w:type="auto"/>
            <w:hideMark/>
          </w:tcPr>
          <w:p w14:paraId="177EBC5A" w14:textId="77777777" w:rsidR="00E128D3" w:rsidRPr="00E128D3" w:rsidRDefault="00E128D3" w:rsidP="00E128D3">
            <w:pPr>
              <w:jc w:val="left"/>
              <w:rPr>
                <w:rFonts w:ascii="Calibri" w:hAnsi="Calibri" w:cs="Calibri"/>
                <w:sz w:val="20"/>
              </w:rPr>
            </w:pPr>
            <w:r w:rsidRPr="00E128D3">
              <w:rPr>
                <w:rFonts w:ascii="Calibri" w:hAnsi="Calibri" w:cs="Calibri"/>
                <w:b/>
                <w:bCs/>
                <w:sz w:val="20"/>
              </w:rPr>
              <w:t>Non automatiquement</w:t>
            </w:r>
          </w:p>
        </w:tc>
      </w:tr>
      <w:tr w:rsidR="00E128D3" w:rsidRPr="00E128D3" w14:paraId="0E9C53A2" w14:textId="77777777" w:rsidTr="00E128D3">
        <w:tc>
          <w:tcPr>
            <w:tcW w:w="0" w:type="auto"/>
            <w:hideMark/>
          </w:tcPr>
          <w:p w14:paraId="2231C58D" w14:textId="77777777" w:rsidR="00E128D3" w:rsidRPr="00E128D3" w:rsidRDefault="00E128D3" w:rsidP="00E128D3">
            <w:pPr>
              <w:jc w:val="left"/>
              <w:rPr>
                <w:rFonts w:ascii="Calibri" w:hAnsi="Calibri" w:cs="Calibri"/>
                <w:sz w:val="20"/>
              </w:rPr>
            </w:pPr>
            <w:r w:rsidRPr="00E128D3">
              <w:rPr>
                <w:rFonts w:ascii="Calibri" w:hAnsi="Calibri" w:cs="Calibri"/>
                <w:sz w:val="20"/>
              </w:rPr>
              <w:t>Trésorerie</w:t>
            </w:r>
          </w:p>
        </w:tc>
        <w:tc>
          <w:tcPr>
            <w:tcW w:w="0" w:type="auto"/>
            <w:hideMark/>
          </w:tcPr>
          <w:p w14:paraId="6A7466E5" w14:textId="77777777" w:rsidR="00E128D3" w:rsidRPr="00E128D3" w:rsidRDefault="00E128D3" w:rsidP="00E128D3">
            <w:pPr>
              <w:jc w:val="left"/>
              <w:rPr>
                <w:rFonts w:ascii="Calibri" w:hAnsi="Calibri" w:cs="Calibri"/>
                <w:sz w:val="20"/>
              </w:rPr>
            </w:pPr>
            <w:r w:rsidRPr="00E128D3">
              <w:rPr>
                <w:rFonts w:ascii="Calibri" w:hAnsi="Calibri" w:cs="Calibri"/>
                <w:sz w:val="20"/>
              </w:rPr>
              <w:t>Pas un élément caractéristique du fonds</w:t>
            </w:r>
          </w:p>
        </w:tc>
      </w:tr>
    </w:tbl>
    <w:p w14:paraId="1E412BAB" w14:textId="77777777" w:rsidR="00E128D3" w:rsidRPr="00E128D3" w:rsidRDefault="00E128D3" w:rsidP="00E128D3">
      <w:pPr>
        <w:spacing w:after="0" w:line="240" w:lineRule="auto"/>
        <w:rPr>
          <w:b/>
          <w:bCs/>
        </w:rPr>
      </w:pPr>
      <w:r w:rsidRPr="00E128D3">
        <w:rPr>
          <w:b/>
          <w:bCs/>
        </w:rPr>
        <w:t>Point essentiel</w:t>
      </w:r>
    </w:p>
    <w:p w14:paraId="45351357" w14:textId="77777777" w:rsidR="00E128D3" w:rsidRPr="00E128D3" w:rsidRDefault="00E128D3" w:rsidP="00E128D3">
      <w:pPr>
        <w:spacing w:after="0" w:line="240" w:lineRule="auto"/>
      </w:pPr>
      <w:r w:rsidRPr="00E128D3">
        <w:rPr>
          <w:b/>
          <w:bCs/>
        </w:rPr>
        <w:t>Fonds de commerce et patrimoine de l’entreprise ne sont pas synonymes.</w:t>
      </w:r>
    </w:p>
    <w:p w14:paraId="2033D0BE" w14:textId="77777777" w:rsidR="00E128D3" w:rsidRPr="00E128D3" w:rsidRDefault="00E128D3" w:rsidP="00E128D3">
      <w:pPr>
        <w:spacing w:after="0" w:line="240" w:lineRule="auto"/>
      </w:pPr>
      <w:r w:rsidRPr="00E128D3">
        <w:t>Une cession de fonds n’entraîne donc pas mécaniquement la transmission de toutes les dettes, créances et relations contractuelles du vendeur.</w:t>
      </w:r>
    </w:p>
    <w:p w14:paraId="7EDBBE38" w14:textId="77777777" w:rsidR="00E128D3" w:rsidRPr="00E128D3" w:rsidRDefault="00E128D3" w:rsidP="00E128D3">
      <w:pPr>
        <w:spacing w:after="0" w:line="240" w:lineRule="auto"/>
      </w:pPr>
      <w:r w:rsidRPr="00E128D3">
        <w:t>Certains contrats peuvent néanmoins être transmis en raison d’un texte particulier ou des conditions de l’opération.</w:t>
      </w:r>
    </w:p>
    <w:p w14:paraId="4F1D6932" w14:textId="77777777" w:rsidR="00E128D3" w:rsidRPr="00E128D3" w:rsidRDefault="00E128D3" w:rsidP="00E128D3">
      <w:pPr>
        <w:pStyle w:val="Titre1"/>
      </w:pPr>
      <w:r w:rsidRPr="00E128D3">
        <w:t>7. L’immeuble ne fait jamais partie du fonds</w:t>
      </w:r>
    </w:p>
    <w:p w14:paraId="365990EF" w14:textId="114B83E9" w:rsidR="00E128D3" w:rsidRPr="00E128D3" w:rsidRDefault="00E128D3" w:rsidP="00E128D3">
      <w:pPr>
        <w:spacing w:after="0" w:line="240" w:lineRule="auto"/>
      </w:pPr>
      <w:r w:rsidRPr="00E128D3">
        <w:t>Même lorsque le commerçant est propriétaire</w:t>
      </w:r>
      <w:r>
        <w:t> :</w:t>
      </w:r>
    </w:p>
    <w:p w14:paraId="2519FEA3" w14:textId="3698B3CD" w:rsidR="00E128D3" w:rsidRPr="00E128D3" w:rsidRDefault="00E128D3">
      <w:pPr>
        <w:numPr>
          <w:ilvl w:val="0"/>
          <w:numId w:val="8"/>
        </w:numPr>
        <w:spacing w:after="0" w:line="240" w:lineRule="auto"/>
      </w:pPr>
      <w:r w:rsidRPr="00E128D3">
        <w:t>du fonds</w:t>
      </w:r>
      <w:r>
        <w:t> ;</w:t>
      </w:r>
    </w:p>
    <w:p w14:paraId="714A7693" w14:textId="77777777" w:rsidR="00E128D3" w:rsidRPr="00E128D3" w:rsidRDefault="00E128D3">
      <w:pPr>
        <w:numPr>
          <w:ilvl w:val="0"/>
          <w:numId w:val="8"/>
        </w:numPr>
        <w:spacing w:after="0" w:line="240" w:lineRule="auto"/>
      </w:pPr>
      <w:r w:rsidRPr="00E128D3">
        <w:t>et de l’immeuble dans lequel il l’exploite,</w:t>
      </w:r>
    </w:p>
    <w:p w14:paraId="50B3CA8E" w14:textId="77777777" w:rsidR="00E128D3" w:rsidRPr="00E128D3" w:rsidRDefault="00E128D3" w:rsidP="00E128D3">
      <w:pPr>
        <w:spacing w:after="0" w:line="240" w:lineRule="auto"/>
      </w:pPr>
      <w:r w:rsidRPr="00E128D3">
        <w:t>les deux biens doivent être juridiquement distingués.</w:t>
      </w:r>
    </w:p>
    <w:p w14:paraId="1C6E8BD2" w14:textId="77777777" w:rsidR="00E128D3" w:rsidRPr="00E128D3" w:rsidRDefault="00E128D3" w:rsidP="00E128D3">
      <w:pPr>
        <w:spacing w:after="0" w:line="240" w:lineRule="auto"/>
        <w:rPr>
          <w:b/>
          <w:bCs/>
        </w:rPr>
      </w:pPr>
      <w:r w:rsidRPr="00E128D3">
        <w:rPr>
          <w:b/>
          <w:bCs/>
        </w:rPr>
        <w:t>Exemple</w:t>
      </w:r>
    </w:p>
    <w:p w14:paraId="57F6AFC9" w14:textId="1D31BF2E" w:rsidR="00E128D3" w:rsidRPr="00E128D3" w:rsidRDefault="00E128D3" w:rsidP="00E128D3">
      <w:pPr>
        <w:spacing w:after="0" w:line="240" w:lineRule="auto"/>
      </w:pPr>
      <w:r w:rsidRPr="00E128D3">
        <w:t>Valeur</w:t>
      </w:r>
      <w:r>
        <w:t> :</w:t>
      </w:r>
    </w:p>
    <w:p w14:paraId="2DC28A36" w14:textId="2ECBACDE" w:rsidR="00E128D3" w:rsidRPr="00E128D3" w:rsidRDefault="00E128D3">
      <w:pPr>
        <w:numPr>
          <w:ilvl w:val="0"/>
          <w:numId w:val="9"/>
        </w:numPr>
        <w:spacing w:after="0" w:line="240" w:lineRule="auto"/>
      </w:pPr>
      <w:r w:rsidRPr="00E128D3">
        <w:t>immeuble</w:t>
      </w:r>
      <w:r>
        <w:t> :</w:t>
      </w:r>
      <w:r w:rsidRPr="00E128D3">
        <w:t xml:space="preserve"> 500 000</w:t>
      </w:r>
      <w:r>
        <w:t> € ;</w:t>
      </w:r>
    </w:p>
    <w:p w14:paraId="1B3D0B71" w14:textId="3F43CCBC" w:rsidR="00E128D3" w:rsidRPr="00E128D3" w:rsidRDefault="00E128D3">
      <w:pPr>
        <w:numPr>
          <w:ilvl w:val="0"/>
          <w:numId w:val="9"/>
        </w:numPr>
        <w:spacing w:after="0" w:line="240" w:lineRule="auto"/>
      </w:pPr>
      <w:r w:rsidRPr="00E128D3">
        <w:t>fonds de commerce</w:t>
      </w:r>
      <w:r>
        <w:t> :</w:t>
      </w:r>
      <w:r w:rsidRPr="00E128D3">
        <w:t xml:space="preserve"> 250 000</w:t>
      </w:r>
      <w:r>
        <w:t> €</w:t>
      </w:r>
      <w:r w:rsidRPr="00E128D3">
        <w:t>.</w:t>
      </w:r>
    </w:p>
    <w:p w14:paraId="0FECAF04" w14:textId="7D2D5076" w:rsidR="00E128D3" w:rsidRPr="00E128D3" w:rsidRDefault="00E128D3" w:rsidP="00E128D3">
      <w:pPr>
        <w:spacing w:after="0" w:line="240" w:lineRule="auto"/>
      </w:pPr>
      <w:r w:rsidRPr="00E128D3">
        <w:t>Une vente du fonds pour 250 000</w:t>
      </w:r>
      <w:r>
        <w:t> €</w:t>
      </w:r>
      <w:r w:rsidRPr="00E128D3">
        <w:t xml:space="preserve"> ne réalise pas par elle-même la vente de l’immeuble.</w:t>
      </w:r>
    </w:p>
    <w:p w14:paraId="0602F271" w14:textId="77777777" w:rsidR="00E128D3" w:rsidRPr="00E128D3" w:rsidRDefault="00E128D3" w:rsidP="00E128D3">
      <w:pPr>
        <w:spacing w:after="0" w:line="240" w:lineRule="auto"/>
      </w:pPr>
      <w:r w:rsidRPr="00E128D3">
        <w:t xml:space="preserve">Cette distinction explique l’importance du </w:t>
      </w:r>
      <w:r w:rsidRPr="00E128D3">
        <w:rPr>
          <w:b/>
          <w:bCs/>
        </w:rPr>
        <w:t>droit au bail</w:t>
      </w:r>
      <w:r w:rsidRPr="00E128D3">
        <w:t xml:space="preserve"> lorsque les locaux sont loués.</w:t>
      </w:r>
    </w:p>
    <w:p w14:paraId="3A1B7F31" w14:textId="77777777" w:rsidR="00E128D3" w:rsidRPr="00E128D3" w:rsidRDefault="00E128D3" w:rsidP="00E128D3">
      <w:pPr>
        <w:pStyle w:val="Titre1"/>
      </w:pPr>
      <w:r w:rsidRPr="00E128D3">
        <w:t>8. Le fonds peut être vendu</w:t>
      </w:r>
    </w:p>
    <w:p w14:paraId="4BEB3FBC" w14:textId="77777777" w:rsidR="00E128D3" w:rsidRPr="00E128D3" w:rsidRDefault="00E128D3" w:rsidP="00E128D3">
      <w:pPr>
        <w:spacing w:after="0" w:line="240" w:lineRule="auto"/>
      </w:pPr>
      <w:r w:rsidRPr="00E128D3">
        <w:t>Le fonds de commerce constitue un bien pouvant faire l’objet d’une cession.</w:t>
      </w:r>
    </w:p>
    <w:p w14:paraId="1AF8ED56" w14:textId="77777777" w:rsidR="00E128D3" w:rsidRPr="00E128D3" w:rsidRDefault="00E128D3" w:rsidP="00E128D3">
      <w:pPr>
        <w:spacing w:after="0" w:line="240" w:lineRule="auto"/>
      </w:pPr>
      <w:r w:rsidRPr="00E128D3">
        <w:t>La vente peut porter sur différents éléments, qui doivent être identifiés avec précision. Le Code prévoit notamment une ventilation des prix entre éléments incorporels, matériel et marchandises dans le cadre du privilège du vendeur. (</w:t>
      </w:r>
      <w:hyperlink r:id="rId12" w:tooltip="TITRE IV : Du fonds de commerce. (Articles L141-2 à L146-4) - Légifrance" w:history="1">
        <w:r w:rsidRPr="00E128D3">
          <w:rPr>
            <w:rStyle w:val="Lienhypertexte"/>
          </w:rPr>
          <w:t>Légifrance</w:t>
        </w:r>
      </w:hyperlink>
      <w:r w:rsidRPr="00E128D3">
        <w:t>)</w:t>
      </w:r>
    </w:p>
    <w:p w14:paraId="5AB5AE25" w14:textId="77777777" w:rsidR="00E128D3" w:rsidRPr="00E128D3" w:rsidRDefault="00E128D3" w:rsidP="00E128D3">
      <w:pPr>
        <w:spacing w:after="0" w:line="240" w:lineRule="auto"/>
        <w:rPr>
          <w:b/>
          <w:bCs/>
        </w:rPr>
      </w:pPr>
      <w:r w:rsidRPr="00E128D3">
        <w:rPr>
          <w:b/>
          <w:bCs/>
        </w:rPr>
        <w:t>Principe pratique</w:t>
      </w:r>
    </w:p>
    <w:p w14:paraId="06E69A3C" w14:textId="05731279" w:rsidR="00E128D3" w:rsidRPr="00E128D3" w:rsidRDefault="00E128D3" w:rsidP="00E128D3">
      <w:pPr>
        <w:spacing w:after="0" w:line="240" w:lineRule="auto"/>
      </w:pPr>
      <w:r w:rsidRPr="00E128D3">
        <w:t>Avant une cession, il faut donc déterminer</w:t>
      </w:r>
      <w:r>
        <w:t> :</w:t>
      </w:r>
    </w:p>
    <w:p w14:paraId="57B7ACA3" w14:textId="437ADCF2" w:rsidR="00E128D3" w:rsidRPr="00E128D3" w:rsidRDefault="00E128D3">
      <w:pPr>
        <w:numPr>
          <w:ilvl w:val="0"/>
          <w:numId w:val="10"/>
        </w:numPr>
        <w:spacing w:after="0" w:line="240" w:lineRule="auto"/>
      </w:pPr>
      <w:r w:rsidRPr="00E128D3">
        <w:t>ce qui appartient réellement au fonds</w:t>
      </w:r>
      <w:r>
        <w:t> ;</w:t>
      </w:r>
    </w:p>
    <w:p w14:paraId="3C66D5F0" w14:textId="1ACA5BEF" w:rsidR="00E128D3" w:rsidRPr="00E128D3" w:rsidRDefault="00E128D3">
      <w:pPr>
        <w:numPr>
          <w:ilvl w:val="0"/>
          <w:numId w:val="10"/>
        </w:numPr>
        <w:spacing w:after="0" w:line="240" w:lineRule="auto"/>
      </w:pPr>
      <w:r w:rsidRPr="00E128D3">
        <w:t>ce qui est inclus dans la vente</w:t>
      </w:r>
      <w:r>
        <w:t> ;</w:t>
      </w:r>
    </w:p>
    <w:p w14:paraId="502A212B" w14:textId="0412CF1F" w:rsidR="00E128D3" w:rsidRPr="00E128D3" w:rsidRDefault="00E128D3">
      <w:pPr>
        <w:numPr>
          <w:ilvl w:val="0"/>
          <w:numId w:val="10"/>
        </w:numPr>
        <w:spacing w:after="0" w:line="240" w:lineRule="auto"/>
      </w:pPr>
      <w:r w:rsidRPr="00E128D3">
        <w:t>ce qui en est exclu</w:t>
      </w:r>
      <w:r>
        <w:t> ;</w:t>
      </w:r>
    </w:p>
    <w:p w14:paraId="7B47454F" w14:textId="08C792BA" w:rsidR="00E128D3" w:rsidRPr="00E128D3" w:rsidRDefault="00E128D3">
      <w:pPr>
        <w:numPr>
          <w:ilvl w:val="0"/>
          <w:numId w:val="10"/>
        </w:numPr>
        <w:spacing w:after="0" w:line="240" w:lineRule="auto"/>
      </w:pPr>
      <w:r w:rsidRPr="00E128D3">
        <w:t>le sort du bail</w:t>
      </w:r>
      <w:r>
        <w:t> ;</w:t>
      </w:r>
    </w:p>
    <w:p w14:paraId="783AEDF8" w14:textId="26C9562A" w:rsidR="00E128D3" w:rsidRPr="00E128D3" w:rsidRDefault="00E128D3">
      <w:pPr>
        <w:numPr>
          <w:ilvl w:val="0"/>
          <w:numId w:val="10"/>
        </w:numPr>
        <w:spacing w:after="0" w:line="240" w:lineRule="auto"/>
      </w:pPr>
      <w:r w:rsidRPr="00E128D3">
        <w:t>le sort des contrats</w:t>
      </w:r>
      <w:r>
        <w:t> ;</w:t>
      </w:r>
    </w:p>
    <w:p w14:paraId="07C8301E" w14:textId="088BE4FC" w:rsidR="00E128D3" w:rsidRPr="00E128D3" w:rsidRDefault="00E128D3">
      <w:pPr>
        <w:numPr>
          <w:ilvl w:val="0"/>
          <w:numId w:val="10"/>
        </w:numPr>
        <w:spacing w:after="0" w:line="240" w:lineRule="auto"/>
      </w:pPr>
      <w:r w:rsidRPr="00E128D3">
        <w:t>les droits de propriété intellectuelle transférés</w:t>
      </w:r>
      <w:r>
        <w:t> ;</w:t>
      </w:r>
    </w:p>
    <w:p w14:paraId="25EAAD77" w14:textId="77777777" w:rsidR="00E128D3" w:rsidRPr="00E128D3" w:rsidRDefault="00E128D3">
      <w:pPr>
        <w:numPr>
          <w:ilvl w:val="0"/>
          <w:numId w:val="10"/>
        </w:numPr>
        <w:spacing w:after="0" w:line="240" w:lineRule="auto"/>
      </w:pPr>
      <w:r w:rsidRPr="00E128D3">
        <w:t>les formalités de publicité.</w:t>
      </w:r>
    </w:p>
    <w:p w14:paraId="370D7B68" w14:textId="77777777" w:rsidR="00E128D3" w:rsidRPr="00E128D3" w:rsidRDefault="00E128D3" w:rsidP="00E128D3">
      <w:pPr>
        <w:pStyle w:val="Titre1"/>
      </w:pPr>
      <w:r w:rsidRPr="00E128D3">
        <w:t>9. Les obligations d’information lors de la vente</w:t>
      </w:r>
    </w:p>
    <w:p w14:paraId="1B442212" w14:textId="77777777" w:rsidR="00E128D3" w:rsidRPr="00E128D3" w:rsidRDefault="00E128D3" w:rsidP="00E128D3">
      <w:pPr>
        <w:spacing w:after="0" w:line="240" w:lineRule="auto"/>
      </w:pPr>
      <w:r w:rsidRPr="00E128D3">
        <w:t>Au jour de la cession, vendeur et acquéreur doivent viser un document présentant les chiffres d’affaires mensuels réalisés entre la clôture du dernier exercice comptable et le mois précédant la vente.</w:t>
      </w:r>
    </w:p>
    <w:p w14:paraId="1FDBC57D" w14:textId="77777777" w:rsidR="00E128D3" w:rsidRPr="00E128D3" w:rsidRDefault="00E128D3" w:rsidP="00E128D3">
      <w:pPr>
        <w:spacing w:after="0" w:line="240" w:lineRule="auto"/>
      </w:pPr>
      <w:r w:rsidRPr="00E128D3">
        <w:t>Pendant trois ans à compter de l’entrée en jouissance, le vendeur doit également mettre à la disposition de l’acquéreur, à sa demande, les livres comptables des trois exercices précédant celui de la vente. (</w:t>
      </w:r>
      <w:hyperlink r:id="rId13" w:tooltip="TITRE IV : Du fonds de commerce. (Articles L141-2 à L146-4) - Légifrance" w:history="1">
        <w:r w:rsidRPr="00E128D3">
          <w:rPr>
            <w:rStyle w:val="Lienhypertexte"/>
          </w:rPr>
          <w:t>Légifrance</w:t>
        </w:r>
      </w:hyperlink>
      <w:r w:rsidRPr="00E128D3">
        <w:t>)</w:t>
      </w:r>
    </w:p>
    <w:p w14:paraId="4D3401AF" w14:textId="77777777" w:rsidR="00E128D3" w:rsidRPr="00E128D3" w:rsidRDefault="00E128D3" w:rsidP="00E128D3">
      <w:pPr>
        <w:spacing w:after="0" w:line="240" w:lineRule="auto"/>
        <w:rPr>
          <w:b/>
          <w:bCs/>
        </w:rPr>
      </w:pPr>
      <w:r w:rsidRPr="00E128D3">
        <w:rPr>
          <w:b/>
          <w:bCs/>
        </w:rPr>
        <w:t>Point essentiel</w:t>
      </w:r>
    </w:p>
    <w:p w14:paraId="5F317608" w14:textId="31AEE137" w:rsidR="00E128D3" w:rsidRPr="00E128D3" w:rsidRDefault="00E128D3" w:rsidP="00E128D3">
      <w:pPr>
        <w:spacing w:after="0" w:line="240" w:lineRule="auto"/>
      </w:pPr>
      <w:r w:rsidRPr="00E128D3">
        <w:t>La cession d’un fonds ne doit pas être analysée comme une simple vente de matériel</w:t>
      </w:r>
      <w:r>
        <w:t> :</w:t>
      </w:r>
    </w:p>
    <w:p w14:paraId="0789FA7C" w14:textId="77777777" w:rsidR="00E128D3" w:rsidRPr="00E128D3" w:rsidRDefault="00E128D3" w:rsidP="00E128D3">
      <w:pPr>
        <w:spacing w:after="0" w:line="240" w:lineRule="auto"/>
      </w:pPr>
      <w:r w:rsidRPr="00E128D3">
        <w:lastRenderedPageBreak/>
        <w:t>elle porte sur un ensemble économique dont la valeur repose principalement sur sa capacité à conserver une clientèle.</w:t>
      </w:r>
    </w:p>
    <w:p w14:paraId="535B17E6" w14:textId="0DA610C1" w:rsidR="00E128D3" w:rsidRPr="00E128D3" w:rsidRDefault="00E128D3" w:rsidP="00E128D3">
      <w:pPr>
        <w:pStyle w:val="Titre1"/>
      </w:pPr>
      <w:r w:rsidRPr="00E128D3">
        <w:t>10. Une réforme importante en 2026</w:t>
      </w:r>
      <w:r>
        <w:t> :</w:t>
      </w:r>
      <w:r w:rsidRPr="00E128D3">
        <w:t xml:space="preserve"> information des salariés avant la vente</w:t>
      </w:r>
    </w:p>
    <w:p w14:paraId="68B0BCE0" w14:textId="77777777" w:rsidR="00E128D3" w:rsidRPr="00E128D3" w:rsidRDefault="00E128D3" w:rsidP="00E128D3">
      <w:pPr>
        <w:spacing w:after="0" w:line="240" w:lineRule="auto"/>
      </w:pPr>
      <w:r w:rsidRPr="00E128D3">
        <w:t xml:space="preserve">La </w:t>
      </w:r>
      <w:r w:rsidRPr="00E128D3">
        <w:rPr>
          <w:b/>
          <w:bCs/>
        </w:rPr>
        <w:t>loi n° 2026-403 du 26 mai 2026 de simplification de la vie économique</w:t>
      </w:r>
      <w:r w:rsidRPr="00E128D3">
        <w:t xml:space="preserve"> a modifié le régime d’information préalable des salariés.</w:t>
      </w:r>
    </w:p>
    <w:p w14:paraId="5F4AD3E9" w14:textId="77777777" w:rsidR="00E128D3" w:rsidRPr="00E128D3" w:rsidRDefault="00E128D3" w:rsidP="00E128D3">
      <w:pPr>
        <w:spacing w:after="0" w:line="240" w:lineRule="auto"/>
      </w:pPr>
      <w:r w:rsidRPr="00E128D3">
        <w:t xml:space="preserve">Dans les entreprises concernées qui ne sont pas soumises à l’obligation de mettre en place un comité social et économique exerçant les attributions économiques visées par le texte, les salariés doivent désormais être informés </w:t>
      </w:r>
      <w:r w:rsidRPr="00E128D3">
        <w:rPr>
          <w:b/>
          <w:bCs/>
        </w:rPr>
        <w:t>au plus tard un mois avant la vente</w:t>
      </w:r>
      <w:r w:rsidRPr="00E128D3">
        <w:t xml:space="preserve"> afin de pouvoir présenter une offre d’acquisition du fonds. La vente peut intervenir plus tôt si chaque salarié renonce à présenter une offre. Ces nouvelles dispositions s’appliquent aux ventes conclues au moins deux mois après la promulgation de la loi. (</w:t>
      </w:r>
      <w:hyperlink r:id="rId14" w:tooltip="TITRE IV : Du fonds de commerce. (Articles L141-2 à L146-4) - Légifrance" w:history="1">
        <w:r w:rsidRPr="00E128D3">
          <w:rPr>
            <w:rStyle w:val="Lienhypertexte"/>
          </w:rPr>
          <w:t>Légifrance</w:t>
        </w:r>
      </w:hyperlink>
      <w:r w:rsidRPr="00E128D3">
        <w:t>)</w:t>
      </w:r>
    </w:p>
    <w:p w14:paraId="54B0791F" w14:textId="77777777" w:rsidR="00E128D3" w:rsidRPr="00E128D3" w:rsidRDefault="00E128D3" w:rsidP="00E128D3">
      <w:pPr>
        <w:spacing w:after="0" w:line="240" w:lineRule="auto"/>
      </w:pPr>
      <w:r w:rsidRPr="00E128D3">
        <w:t xml:space="preserve">Dans les entreprises où le </w:t>
      </w:r>
      <w:r w:rsidRPr="00E128D3">
        <w:rPr>
          <w:b/>
          <w:bCs/>
        </w:rPr>
        <w:t>comité social et économique (CSE)</w:t>
      </w:r>
      <w:r w:rsidRPr="00E128D3">
        <w:t xml:space="preserve"> exerce les attributions économiques prévues par le Code du travail, celui-ci est informé et consulté sur le projet de vente dans les conditions applicables. (</w:t>
      </w:r>
      <w:hyperlink r:id="rId15" w:tooltip="TITRE IV : Du fonds de commerce. (Articles L141-2 à L146-4) - Légifrance" w:history="1">
        <w:r w:rsidRPr="00E128D3">
          <w:rPr>
            <w:rStyle w:val="Lienhypertexte"/>
          </w:rPr>
          <w:t>Légifrance</w:t>
        </w:r>
      </w:hyperlink>
      <w:r w:rsidRPr="00E128D3">
        <w:t>)</w:t>
      </w:r>
    </w:p>
    <w:p w14:paraId="11236E2F" w14:textId="77777777" w:rsidR="00E128D3" w:rsidRPr="00E128D3" w:rsidRDefault="00E128D3" w:rsidP="00E128D3">
      <w:pPr>
        <w:spacing w:after="0" w:line="240" w:lineRule="auto"/>
        <w:rPr>
          <w:b/>
          <w:bCs/>
        </w:rPr>
      </w:pPr>
      <w:r w:rsidRPr="00E128D3">
        <w:rPr>
          <w:b/>
          <w:bCs/>
        </w:rPr>
        <w:t>Point essentiel</w:t>
      </w:r>
    </w:p>
    <w:p w14:paraId="1746C556" w14:textId="77777777" w:rsidR="00E128D3" w:rsidRPr="00E128D3" w:rsidRDefault="00E128D3" w:rsidP="00E128D3">
      <w:pPr>
        <w:spacing w:after="0" w:line="240" w:lineRule="auto"/>
      </w:pPr>
      <w:r w:rsidRPr="00E128D3">
        <w:t xml:space="preserve">Le salarié dispose d’un </w:t>
      </w:r>
      <w:r w:rsidRPr="00E128D3">
        <w:rPr>
          <w:b/>
          <w:bCs/>
        </w:rPr>
        <w:t>droit d’être informé et de présenter une offre</w:t>
      </w:r>
      <w:r w:rsidRPr="00E128D3">
        <w:t>.</w:t>
      </w:r>
    </w:p>
    <w:p w14:paraId="110D39EE" w14:textId="77777777" w:rsidR="00E128D3" w:rsidRPr="00E128D3" w:rsidRDefault="00E128D3" w:rsidP="00E128D3">
      <w:pPr>
        <w:spacing w:after="0" w:line="240" w:lineRule="auto"/>
      </w:pPr>
      <w:r w:rsidRPr="00E128D3">
        <w:t>Il ne dispose pas, sur ce seul fondement, d’un droit automatique d’acquérir prioritairement le fonds.</w:t>
      </w:r>
    </w:p>
    <w:p w14:paraId="43741017" w14:textId="77777777" w:rsidR="00E128D3" w:rsidRPr="00E128D3" w:rsidRDefault="00E128D3" w:rsidP="00E128D3">
      <w:pPr>
        <w:pStyle w:val="Titre1"/>
      </w:pPr>
      <w:r w:rsidRPr="00E128D3">
        <w:t>11. Le fonds peut être nanti</w:t>
      </w:r>
    </w:p>
    <w:p w14:paraId="569A17C6" w14:textId="77777777" w:rsidR="00E128D3" w:rsidRPr="00E128D3" w:rsidRDefault="00E128D3" w:rsidP="00E128D3">
      <w:pPr>
        <w:spacing w:after="0" w:line="240" w:lineRule="auto"/>
      </w:pPr>
      <w:r w:rsidRPr="00E128D3">
        <w:t xml:space="preserve">Le fonds peut servir de garantie à un créancier grâce au </w:t>
      </w:r>
      <w:r w:rsidRPr="00E128D3">
        <w:rPr>
          <w:b/>
          <w:bCs/>
        </w:rPr>
        <w:t>nantissement</w:t>
      </w:r>
      <w:r w:rsidRPr="00E128D3">
        <w:t>.</w:t>
      </w:r>
    </w:p>
    <w:p w14:paraId="708EE377" w14:textId="77777777" w:rsidR="00E128D3" w:rsidRPr="00E128D3" w:rsidRDefault="00E128D3" w:rsidP="00E128D3">
      <w:pPr>
        <w:spacing w:after="0" w:line="240" w:lineRule="auto"/>
      </w:pPr>
      <w:r w:rsidRPr="00E128D3">
        <w:t>Le Code de commerce prévoit expressément que les fonds de commerce peuvent faire l’objet d’un nantissement. Le contrat doit être constaté par écrit et le droit de préférence du créancier devient opposable aux tiers par son inscription sur le registre tenu par le greffe compétent. (</w:t>
      </w:r>
      <w:hyperlink r:id="rId16" w:tooltip="TITRE IV : Du fonds de commerce. (Articles L141-2 à L146-4) - Légifrance" w:history="1">
        <w:r w:rsidRPr="00E128D3">
          <w:rPr>
            <w:rStyle w:val="Lienhypertexte"/>
          </w:rPr>
          <w:t>Légifrance</w:t>
        </w:r>
      </w:hyperlink>
      <w:r w:rsidRPr="00E128D3">
        <w:t>)</w:t>
      </w:r>
    </w:p>
    <w:p w14:paraId="34B93295" w14:textId="67652D28" w:rsidR="00E128D3" w:rsidRPr="00E128D3" w:rsidRDefault="00E128D3" w:rsidP="00E128D3">
      <w:pPr>
        <w:spacing w:after="0" w:line="240" w:lineRule="auto"/>
      </w:pPr>
      <w:r w:rsidRPr="00E128D3">
        <w:t>À défaut de désignation précise, le nantissement comprend principalement</w:t>
      </w:r>
      <w:r>
        <w:t> :</w:t>
      </w:r>
    </w:p>
    <w:p w14:paraId="3FD65CC4" w14:textId="14BDE544" w:rsidR="00E128D3" w:rsidRPr="00E128D3" w:rsidRDefault="00E128D3">
      <w:pPr>
        <w:numPr>
          <w:ilvl w:val="0"/>
          <w:numId w:val="11"/>
        </w:numPr>
        <w:spacing w:after="0" w:line="240" w:lineRule="auto"/>
      </w:pPr>
      <w:r w:rsidRPr="00E128D3">
        <w:t>enseigne</w:t>
      </w:r>
      <w:r>
        <w:t> ;</w:t>
      </w:r>
    </w:p>
    <w:p w14:paraId="1DB18E7E" w14:textId="3099BE09" w:rsidR="00E128D3" w:rsidRPr="00E128D3" w:rsidRDefault="00E128D3">
      <w:pPr>
        <w:numPr>
          <w:ilvl w:val="0"/>
          <w:numId w:val="11"/>
        </w:numPr>
        <w:spacing w:after="0" w:line="240" w:lineRule="auto"/>
      </w:pPr>
      <w:r w:rsidRPr="00E128D3">
        <w:t>nom commercial</w:t>
      </w:r>
      <w:r>
        <w:t> ;</w:t>
      </w:r>
    </w:p>
    <w:p w14:paraId="3FB42F98" w14:textId="7665FD3D" w:rsidR="00E128D3" w:rsidRPr="00E128D3" w:rsidRDefault="00E128D3">
      <w:pPr>
        <w:numPr>
          <w:ilvl w:val="0"/>
          <w:numId w:val="11"/>
        </w:numPr>
        <w:spacing w:after="0" w:line="240" w:lineRule="auto"/>
      </w:pPr>
      <w:r w:rsidRPr="00E128D3">
        <w:t>droit au bail</w:t>
      </w:r>
      <w:r>
        <w:t> ;</w:t>
      </w:r>
    </w:p>
    <w:p w14:paraId="7E92C06B" w14:textId="3E499254" w:rsidR="00E128D3" w:rsidRPr="00E128D3" w:rsidRDefault="00E128D3">
      <w:pPr>
        <w:numPr>
          <w:ilvl w:val="0"/>
          <w:numId w:val="11"/>
        </w:numPr>
        <w:spacing w:after="0" w:line="240" w:lineRule="auto"/>
      </w:pPr>
      <w:r w:rsidRPr="00E128D3">
        <w:t>clientèle</w:t>
      </w:r>
      <w:r>
        <w:t> ;</w:t>
      </w:r>
    </w:p>
    <w:p w14:paraId="5EECBFC8" w14:textId="77777777" w:rsidR="00E128D3" w:rsidRPr="00E128D3" w:rsidRDefault="00E128D3">
      <w:pPr>
        <w:numPr>
          <w:ilvl w:val="0"/>
          <w:numId w:val="11"/>
        </w:numPr>
        <w:spacing w:after="0" w:line="240" w:lineRule="auto"/>
      </w:pPr>
      <w:r w:rsidRPr="00E128D3">
        <w:t>achalandage. (</w:t>
      </w:r>
      <w:hyperlink r:id="rId17" w:tooltip="Article L142-2 - Code de commerce - Légifrance" w:history="1">
        <w:r w:rsidRPr="00E128D3">
          <w:rPr>
            <w:rStyle w:val="Lienhypertexte"/>
          </w:rPr>
          <w:t>Légifrance</w:t>
        </w:r>
      </w:hyperlink>
      <w:r w:rsidRPr="00E128D3">
        <w:t>)</w:t>
      </w:r>
    </w:p>
    <w:p w14:paraId="3B863FB0" w14:textId="77777777" w:rsidR="00E128D3" w:rsidRPr="00E128D3" w:rsidRDefault="00E128D3" w:rsidP="00E128D3">
      <w:pPr>
        <w:spacing w:after="0" w:line="240" w:lineRule="auto"/>
        <w:rPr>
          <w:b/>
          <w:bCs/>
        </w:rPr>
      </w:pPr>
      <w:r w:rsidRPr="00E128D3">
        <w:rPr>
          <w:b/>
          <w:bCs/>
        </w:rPr>
        <w:t>Point essentiel</w:t>
      </w:r>
    </w:p>
    <w:p w14:paraId="28460939" w14:textId="328CE596" w:rsidR="00E128D3" w:rsidRPr="00E128D3" w:rsidRDefault="00E128D3" w:rsidP="00E128D3">
      <w:pPr>
        <w:spacing w:after="0" w:line="240" w:lineRule="auto"/>
      </w:pPr>
      <w:r w:rsidRPr="00E128D3">
        <w:t>Le nantissement</w:t>
      </w:r>
      <w:r>
        <w:t> :</w:t>
      </w:r>
    </w:p>
    <w:p w14:paraId="21DC91B9" w14:textId="77777777" w:rsidR="00E128D3" w:rsidRPr="00E128D3" w:rsidRDefault="00E128D3" w:rsidP="00E128D3">
      <w:pPr>
        <w:spacing w:after="0" w:line="240" w:lineRule="auto"/>
      </w:pPr>
      <w:r w:rsidRPr="00E128D3">
        <w:t>permet d'utiliser la valeur du fonds comme garantie sans transférer immédiatement sa propriété au créancier.</w:t>
      </w:r>
    </w:p>
    <w:p w14:paraId="25CF1AA9" w14:textId="77777777" w:rsidR="00E128D3" w:rsidRPr="00E128D3" w:rsidRDefault="00E128D3" w:rsidP="00E128D3">
      <w:pPr>
        <w:pStyle w:val="Titre1"/>
      </w:pPr>
      <w:r w:rsidRPr="00E128D3">
        <w:t>12. Le droit au bail est un élément particulièrement important du fonds</w:t>
      </w:r>
    </w:p>
    <w:p w14:paraId="153E7E91" w14:textId="77777777" w:rsidR="00E128D3" w:rsidRPr="00E128D3" w:rsidRDefault="00E128D3" w:rsidP="00E128D3">
      <w:pPr>
        <w:spacing w:after="0" w:line="240" w:lineRule="auto"/>
      </w:pPr>
      <w:r w:rsidRPr="00E128D3">
        <w:t xml:space="preserve">Lorsque le commerçant n’est pas propriétaire du local, son activité repose fréquemment sur un </w:t>
      </w:r>
      <w:r w:rsidRPr="00E128D3">
        <w:rPr>
          <w:b/>
          <w:bCs/>
        </w:rPr>
        <w:t>bail commercial</w:t>
      </w:r>
      <w:r w:rsidRPr="00E128D3">
        <w:t>.</w:t>
      </w:r>
    </w:p>
    <w:p w14:paraId="198A4ADC" w14:textId="465FBC51" w:rsidR="00E128D3" w:rsidRPr="00E128D3" w:rsidRDefault="00E128D3" w:rsidP="00E128D3">
      <w:pPr>
        <w:spacing w:after="0" w:line="240" w:lineRule="auto"/>
      </w:pPr>
      <w:r w:rsidRPr="00E128D3">
        <w:t>Le droit au bail représente alors la valeur attachée</w:t>
      </w:r>
      <w:r>
        <w:t> :</w:t>
      </w:r>
    </w:p>
    <w:p w14:paraId="696686A7" w14:textId="6026EAFF" w:rsidR="00E128D3" w:rsidRPr="00E128D3" w:rsidRDefault="00E128D3">
      <w:pPr>
        <w:numPr>
          <w:ilvl w:val="0"/>
          <w:numId w:val="12"/>
        </w:numPr>
        <w:spacing w:after="0" w:line="240" w:lineRule="auto"/>
      </w:pPr>
      <w:r w:rsidRPr="00E128D3">
        <w:t>au droit d’occuper les locaux</w:t>
      </w:r>
      <w:r>
        <w:t> ;</w:t>
      </w:r>
    </w:p>
    <w:p w14:paraId="1D489F5E" w14:textId="636C60AF" w:rsidR="00E128D3" w:rsidRPr="00E128D3" w:rsidRDefault="00E128D3">
      <w:pPr>
        <w:numPr>
          <w:ilvl w:val="0"/>
          <w:numId w:val="12"/>
        </w:numPr>
        <w:spacing w:after="0" w:line="240" w:lineRule="auto"/>
      </w:pPr>
      <w:r w:rsidRPr="00E128D3">
        <w:t>aux conditions du bail</w:t>
      </w:r>
      <w:r>
        <w:t> ;</w:t>
      </w:r>
    </w:p>
    <w:p w14:paraId="0616A5CE" w14:textId="77777777" w:rsidR="00E128D3" w:rsidRPr="00E128D3" w:rsidRDefault="00E128D3">
      <w:pPr>
        <w:numPr>
          <w:ilvl w:val="0"/>
          <w:numId w:val="12"/>
        </w:numPr>
        <w:spacing w:after="0" w:line="240" w:lineRule="auto"/>
      </w:pPr>
      <w:r w:rsidRPr="00E128D3">
        <w:t>et surtout à la protection conférée par le statut des baux commerciaux.</w:t>
      </w:r>
    </w:p>
    <w:p w14:paraId="2DE37C58" w14:textId="77777777" w:rsidR="00E128D3" w:rsidRPr="00E128D3" w:rsidRDefault="00E128D3" w:rsidP="00E128D3">
      <w:pPr>
        <w:spacing w:after="0" w:line="240" w:lineRule="auto"/>
      </w:pPr>
      <w:r w:rsidRPr="00E128D3">
        <w:t>Ce droit peut donc constituer un élément important de la valeur du fonds. Le Code le cite expressément parmi les éléments du fonds susceptibles d’être nantis. (</w:t>
      </w:r>
      <w:hyperlink r:id="rId18" w:tooltip="Article L142-2 - Code de commerce - Légifrance" w:history="1">
        <w:r w:rsidRPr="00E128D3">
          <w:rPr>
            <w:rStyle w:val="Lienhypertexte"/>
          </w:rPr>
          <w:t>Légifrance</w:t>
        </w:r>
      </w:hyperlink>
      <w:r w:rsidRPr="00E128D3">
        <w:t>)</w:t>
      </w:r>
    </w:p>
    <w:p w14:paraId="0B2611C4" w14:textId="77777777" w:rsidR="00E128D3" w:rsidRPr="00E128D3" w:rsidRDefault="00E128D3" w:rsidP="00E128D3">
      <w:pPr>
        <w:pStyle w:val="Titre1"/>
      </w:pPr>
      <w:r w:rsidRPr="00E128D3">
        <w:t>13. Le bail commercial protège la stabilité de l’exploitation</w:t>
      </w:r>
    </w:p>
    <w:p w14:paraId="4E843EDB" w14:textId="77777777" w:rsidR="00E128D3" w:rsidRPr="00E128D3" w:rsidRDefault="00E128D3" w:rsidP="00E128D3">
      <w:pPr>
        <w:spacing w:after="0" w:line="240" w:lineRule="auto"/>
      </w:pPr>
      <w:r w:rsidRPr="00E128D3">
        <w:t xml:space="preserve">Le statut des baux commerciaux vise notamment les locaux dans lesquels est exploité un fonds appartenant à un commerçant ou industriel immatriculé au </w:t>
      </w:r>
      <w:r w:rsidRPr="00E128D3">
        <w:rPr>
          <w:b/>
          <w:bCs/>
        </w:rPr>
        <w:t>registre du commerce et des sociétés (RCS)</w:t>
      </w:r>
      <w:r w:rsidRPr="00E128D3">
        <w:t xml:space="preserve"> ou à une entreprise artisanale relevant du </w:t>
      </w:r>
      <w:r w:rsidRPr="00E128D3">
        <w:rPr>
          <w:b/>
          <w:bCs/>
        </w:rPr>
        <w:t>registre national des entreprises (RNE)</w:t>
      </w:r>
      <w:r w:rsidRPr="00E128D3">
        <w:t xml:space="preserve"> dans les conditions de l’article L. 145-1. (</w:t>
      </w:r>
      <w:hyperlink r:id="rId19" w:tooltip="Chapitre V : Du bail commercial. (Articles L145-1 à L145-60)" w:history="1">
        <w:r w:rsidRPr="00E128D3">
          <w:rPr>
            <w:rStyle w:val="Lienhypertexte"/>
          </w:rPr>
          <w:t>Légifrance</w:t>
        </w:r>
      </w:hyperlink>
      <w:r w:rsidRPr="00E128D3">
        <w:t>)</w:t>
      </w:r>
    </w:p>
    <w:p w14:paraId="426C294E" w14:textId="5D6D1354" w:rsidR="00E128D3" w:rsidRPr="00E128D3" w:rsidRDefault="00E128D3" w:rsidP="00E128D3">
      <w:pPr>
        <w:spacing w:after="0" w:line="240" w:lineRule="auto"/>
      </w:pPr>
      <w:r w:rsidRPr="00E128D3">
        <w:t>Le statut procure notamment au locataire</w:t>
      </w:r>
      <w:r>
        <w:t> :</w:t>
      </w:r>
    </w:p>
    <w:p w14:paraId="4A7975B2" w14:textId="7BE66F56" w:rsidR="00E128D3" w:rsidRPr="00E128D3" w:rsidRDefault="00E128D3">
      <w:pPr>
        <w:numPr>
          <w:ilvl w:val="0"/>
          <w:numId w:val="13"/>
        </w:numPr>
        <w:spacing w:after="0" w:line="240" w:lineRule="auto"/>
      </w:pPr>
      <w:r w:rsidRPr="00E128D3">
        <w:t>une durée minimale protectrice</w:t>
      </w:r>
      <w:r>
        <w:t> ;</w:t>
      </w:r>
    </w:p>
    <w:p w14:paraId="30A4F7C5" w14:textId="01A2016A" w:rsidR="00E128D3" w:rsidRPr="00E128D3" w:rsidRDefault="00E128D3">
      <w:pPr>
        <w:numPr>
          <w:ilvl w:val="0"/>
          <w:numId w:val="13"/>
        </w:numPr>
        <w:spacing w:after="0" w:line="240" w:lineRule="auto"/>
      </w:pPr>
      <w:r w:rsidRPr="00E128D3">
        <w:t>une faculté de résiliation périodique</w:t>
      </w:r>
      <w:r>
        <w:t> ;</w:t>
      </w:r>
    </w:p>
    <w:p w14:paraId="43C20CB2" w14:textId="51D6BF6C" w:rsidR="00E128D3" w:rsidRPr="00E128D3" w:rsidRDefault="00E128D3">
      <w:pPr>
        <w:numPr>
          <w:ilvl w:val="0"/>
          <w:numId w:val="13"/>
        </w:numPr>
        <w:spacing w:after="0" w:line="240" w:lineRule="auto"/>
      </w:pPr>
      <w:r w:rsidRPr="00E128D3">
        <w:t>un droit au renouvellement sous conditions</w:t>
      </w:r>
      <w:r>
        <w:t> ;</w:t>
      </w:r>
    </w:p>
    <w:p w14:paraId="066DD120" w14:textId="11C4A440" w:rsidR="00E128D3" w:rsidRPr="00E128D3" w:rsidRDefault="00E128D3">
      <w:pPr>
        <w:numPr>
          <w:ilvl w:val="0"/>
          <w:numId w:val="13"/>
        </w:numPr>
        <w:spacing w:after="0" w:line="240" w:lineRule="auto"/>
      </w:pPr>
      <w:r w:rsidRPr="00E128D3">
        <w:t>à défaut de renouvellement, un droit éventuel à une indemnité d’éviction</w:t>
      </w:r>
      <w:r>
        <w:t> ;</w:t>
      </w:r>
    </w:p>
    <w:p w14:paraId="3DFC5E8A" w14:textId="3E06D39F" w:rsidR="00E128D3" w:rsidRPr="00E128D3" w:rsidRDefault="00E128D3">
      <w:pPr>
        <w:numPr>
          <w:ilvl w:val="0"/>
          <w:numId w:val="13"/>
        </w:numPr>
        <w:spacing w:after="0" w:line="240" w:lineRule="auto"/>
      </w:pPr>
      <w:r w:rsidRPr="00E128D3">
        <w:t>des règles encadrant le loyer</w:t>
      </w:r>
      <w:r>
        <w:t> ;</w:t>
      </w:r>
    </w:p>
    <w:p w14:paraId="15C3AA87" w14:textId="77777777" w:rsidR="00E128D3" w:rsidRPr="00E128D3" w:rsidRDefault="00E128D3">
      <w:pPr>
        <w:numPr>
          <w:ilvl w:val="0"/>
          <w:numId w:val="13"/>
        </w:numPr>
        <w:spacing w:after="0" w:line="240" w:lineRule="auto"/>
      </w:pPr>
      <w:r w:rsidRPr="00E128D3">
        <w:t>la possibilité de modifier sous conditions l’activité exercée.</w:t>
      </w:r>
    </w:p>
    <w:p w14:paraId="0E71C115" w14:textId="77777777" w:rsidR="00E128D3" w:rsidRPr="00E128D3" w:rsidRDefault="00E128D3" w:rsidP="00E128D3">
      <w:pPr>
        <w:pStyle w:val="Titre1"/>
      </w:pPr>
      <w:r w:rsidRPr="00E128D3">
        <w:t>14. Conditions principales d’application du statut</w:t>
      </w:r>
    </w:p>
    <w:p w14:paraId="3D08F368" w14:textId="4A94595B" w:rsidR="00E128D3" w:rsidRPr="00E128D3" w:rsidRDefault="00E128D3" w:rsidP="00E128D3">
      <w:pPr>
        <w:spacing w:after="0" w:line="240" w:lineRule="auto"/>
      </w:pPr>
      <w:r w:rsidRPr="00E128D3">
        <w:t>Pour bénéficier du statut légal, il faut principalement vérifier</w:t>
      </w:r>
      <w:r>
        <w:t> :</w:t>
      </w:r>
    </w:p>
    <w:p w14:paraId="1B6EC024" w14:textId="132AAAEA" w:rsidR="00E128D3" w:rsidRPr="00E128D3" w:rsidRDefault="00E128D3">
      <w:pPr>
        <w:numPr>
          <w:ilvl w:val="0"/>
          <w:numId w:val="14"/>
        </w:numPr>
        <w:spacing w:after="0" w:line="240" w:lineRule="auto"/>
      </w:pPr>
      <w:r w:rsidRPr="00E128D3">
        <w:t xml:space="preserve">l’existence d’un </w:t>
      </w:r>
      <w:r w:rsidRPr="00E128D3">
        <w:rPr>
          <w:b/>
          <w:bCs/>
        </w:rPr>
        <w:t>immeuble ou local</w:t>
      </w:r>
      <w:r w:rsidRPr="00E128D3">
        <w:t xml:space="preserve"> susceptible d’être donné à bail</w:t>
      </w:r>
      <w:r>
        <w:t> ;</w:t>
      </w:r>
    </w:p>
    <w:p w14:paraId="02CDD303" w14:textId="74EF1094" w:rsidR="00E128D3" w:rsidRPr="00E128D3" w:rsidRDefault="00E128D3">
      <w:pPr>
        <w:numPr>
          <w:ilvl w:val="0"/>
          <w:numId w:val="14"/>
        </w:numPr>
        <w:spacing w:after="0" w:line="240" w:lineRule="auto"/>
      </w:pPr>
      <w:r w:rsidRPr="00E128D3">
        <w:t xml:space="preserve">l’exploitation d’un </w:t>
      </w:r>
      <w:r w:rsidRPr="00E128D3">
        <w:rPr>
          <w:b/>
          <w:bCs/>
        </w:rPr>
        <w:t>fonds</w:t>
      </w:r>
      <w:r w:rsidRPr="00E128D3">
        <w:t xml:space="preserve"> dans les lieux</w:t>
      </w:r>
      <w:r>
        <w:t> ;</w:t>
      </w:r>
    </w:p>
    <w:p w14:paraId="2D24DAD4" w14:textId="6B95C295" w:rsidR="00E128D3" w:rsidRPr="00E128D3" w:rsidRDefault="00E128D3">
      <w:pPr>
        <w:numPr>
          <w:ilvl w:val="0"/>
          <w:numId w:val="14"/>
        </w:numPr>
        <w:spacing w:after="0" w:line="240" w:lineRule="auto"/>
      </w:pPr>
      <w:r w:rsidRPr="00E128D3">
        <w:t>l’existence d’un contrat de location entrant dans le champ du statut</w:t>
      </w:r>
      <w:r>
        <w:t> ;</w:t>
      </w:r>
    </w:p>
    <w:p w14:paraId="79EBCE75" w14:textId="77777777" w:rsidR="00E128D3" w:rsidRPr="00E128D3" w:rsidRDefault="00E128D3">
      <w:pPr>
        <w:numPr>
          <w:ilvl w:val="0"/>
          <w:numId w:val="14"/>
        </w:numPr>
        <w:spacing w:after="0" w:line="240" w:lineRule="auto"/>
      </w:pPr>
      <w:r w:rsidRPr="00E128D3">
        <w:t>les conditions professionnelles et d’immatriculation prévues par l’article L. 145-1. (</w:t>
      </w:r>
      <w:hyperlink r:id="rId20" w:tooltip="Chapitre V : Du bail commercial. (Articles L145-1 à L145-60)" w:history="1">
        <w:r w:rsidRPr="00E128D3">
          <w:rPr>
            <w:rStyle w:val="Lienhypertexte"/>
          </w:rPr>
          <w:t>Légifrance</w:t>
        </w:r>
      </w:hyperlink>
      <w:r w:rsidRPr="00E128D3">
        <w:t>)</w:t>
      </w:r>
    </w:p>
    <w:p w14:paraId="665C4E5F" w14:textId="77777777" w:rsidR="00E128D3" w:rsidRPr="00E128D3" w:rsidRDefault="00E128D3" w:rsidP="00E128D3">
      <w:pPr>
        <w:spacing w:after="0" w:line="240" w:lineRule="auto"/>
      </w:pPr>
      <w:r w:rsidRPr="00E128D3">
        <w:t>Le statut est également étendu par la loi à plusieurs situations particulières prévues notamment aux articles L. 145-1 à L. 145-3. (</w:t>
      </w:r>
      <w:hyperlink r:id="rId21" w:tooltip="Du champ d'application. (Articles L145-1 à L145-3)" w:history="1">
        <w:r w:rsidRPr="00E128D3">
          <w:rPr>
            <w:rStyle w:val="Lienhypertexte"/>
          </w:rPr>
          <w:t>Légifrance</w:t>
        </w:r>
      </w:hyperlink>
      <w:r w:rsidRPr="00E128D3">
        <w:t>)</w:t>
      </w:r>
    </w:p>
    <w:p w14:paraId="7E3773B1" w14:textId="77777777" w:rsidR="00E128D3" w:rsidRPr="00E128D3" w:rsidRDefault="00E128D3" w:rsidP="00E128D3">
      <w:pPr>
        <w:spacing w:after="0" w:line="240" w:lineRule="auto"/>
        <w:rPr>
          <w:b/>
          <w:bCs/>
        </w:rPr>
      </w:pPr>
      <w:r w:rsidRPr="00E128D3">
        <w:rPr>
          <w:b/>
          <w:bCs/>
        </w:rPr>
        <w:t>Exemple</w:t>
      </w:r>
    </w:p>
    <w:p w14:paraId="305E3DB2" w14:textId="77777777" w:rsidR="00E128D3" w:rsidRPr="00E128D3" w:rsidRDefault="00E128D3" w:rsidP="00E128D3">
      <w:pPr>
        <w:spacing w:after="0" w:line="240" w:lineRule="auto"/>
      </w:pPr>
      <w:r w:rsidRPr="00E128D3">
        <w:t>Une société commerciale régulièrement immatriculée exploite son magasin et sa clientèle dans un local qu’elle loue.</w:t>
      </w:r>
    </w:p>
    <w:p w14:paraId="2A719AD3" w14:textId="77777777" w:rsidR="00E128D3" w:rsidRPr="00E128D3" w:rsidRDefault="00E128D3" w:rsidP="00E128D3">
      <w:pPr>
        <w:spacing w:after="0" w:line="240" w:lineRule="auto"/>
      </w:pPr>
      <w:r w:rsidRPr="00E128D3">
        <w:t>Le statut des baux commerciaux a vocation à s’appliquer si les autres conditions sont réunies.</w:t>
      </w:r>
    </w:p>
    <w:p w14:paraId="634D5D3A" w14:textId="77777777" w:rsidR="00E128D3" w:rsidRPr="00E128D3" w:rsidRDefault="00E128D3" w:rsidP="00E128D3">
      <w:pPr>
        <w:pStyle w:val="Titre1"/>
      </w:pPr>
      <w:r w:rsidRPr="00E128D3">
        <w:t>15. Le bail commercial doit être distingué de la convention d’occupation précaire</w:t>
      </w:r>
    </w:p>
    <w:p w14:paraId="29FE6C56" w14:textId="77777777" w:rsidR="00E128D3" w:rsidRPr="00E128D3" w:rsidRDefault="00E128D3" w:rsidP="00E128D3">
      <w:pPr>
        <w:spacing w:after="0" w:line="240" w:lineRule="auto"/>
      </w:pPr>
      <w:r w:rsidRPr="00E128D3">
        <w:t>L’existence d’une occupation payante ne suffit pas à caractériser un bail commercial.</w:t>
      </w:r>
    </w:p>
    <w:p w14:paraId="208EF929" w14:textId="77777777" w:rsidR="00E128D3" w:rsidRPr="00E128D3" w:rsidRDefault="00E128D3" w:rsidP="00E128D3">
      <w:pPr>
        <w:spacing w:after="0" w:line="240" w:lineRule="auto"/>
      </w:pPr>
      <w:r w:rsidRPr="00E128D3">
        <w:t xml:space="preserve">Une </w:t>
      </w:r>
      <w:r w:rsidRPr="00E128D3">
        <w:rPr>
          <w:b/>
          <w:bCs/>
        </w:rPr>
        <w:t>convention d’occupation précaire</w:t>
      </w:r>
      <w:r w:rsidRPr="00E128D3">
        <w:t xml:space="preserve"> peut être conclue lorsque des circonstances particulières indépendantes de la seule volonté des parties justifient objectivement la précarité de l’occupation. Elle est expressément distinguée du bail commercial par le Code. (</w:t>
      </w:r>
      <w:hyperlink r:id="rId22" w:tooltip="Section 2 : De la durée. (Articles L145-4 à L145-7-1)" w:history="1">
        <w:r w:rsidRPr="00E128D3">
          <w:rPr>
            <w:rStyle w:val="Lienhypertexte"/>
          </w:rPr>
          <w:t>Légifrance</w:t>
        </w:r>
      </w:hyperlink>
      <w:r w:rsidRPr="00E128D3">
        <w:t>)</w:t>
      </w:r>
    </w:p>
    <w:p w14:paraId="27F94C2C" w14:textId="77777777" w:rsidR="00E128D3" w:rsidRPr="00E128D3" w:rsidRDefault="00E128D3" w:rsidP="00E128D3">
      <w:pPr>
        <w:spacing w:after="0" w:line="240" w:lineRule="auto"/>
      </w:pPr>
      <w:r w:rsidRPr="00E128D3">
        <w:t xml:space="preserve">Il faut également distinguer le bail commercial du </w:t>
      </w:r>
      <w:r w:rsidRPr="00E128D3">
        <w:rPr>
          <w:b/>
          <w:bCs/>
        </w:rPr>
        <w:t>bail dérogatoire</w:t>
      </w:r>
      <w:r w:rsidRPr="00E128D3">
        <w:t>, qui permet sous conditions de déroger temporairement au statut pour une durée totale encadrée par l’article L. 145-5. (</w:t>
      </w:r>
      <w:hyperlink r:id="rId23" w:tooltip="Section 2 : De la durée. (Articles L145-4 à L145-7-1)" w:history="1">
        <w:r w:rsidRPr="00E128D3">
          <w:rPr>
            <w:rStyle w:val="Lienhypertexte"/>
          </w:rPr>
          <w:t>Légifrance</w:t>
        </w:r>
      </w:hyperlink>
      <w:r w:rsidRPr="00E128D3">
        <w:t>)</w:t>
      </w:r>
    </w:p>
    <w:p w14:paraId="21EC0941" w14:textId="77777777" w:rsidR="00E128D3" w:rsidRPr="00E128D3" w:rsidRDefault="00E128D3" w:rsidP="00E128D3">
      <w:pPr>
        <w:pStyle w:val="Titre1"/>
      </w:pPr>
      <w:r w:rsidRPr="00E128D3">
        <w:t>16. La durée minimale du bail commercial est de neuf ans</w:t>
      </w:r>
    </w:p>
    <w:p w14:paraId="772BD136" w14:textId="77777777" w:rsidR="00E128D3" w:rsidRPr="00E128D3" w:rsidRDefault="00E128D3" w:rsidP="00E128D3">
      <w:pPr>
        <w:spacing w:after="0" w:line="240" w:lineRule="auto"/>
      </w:pPr>
      <w:r w:rsidRPr="00E128D3">
        <w:t xml:space="preserve">Le Code de commerce prévoit que la durée du bail commercial ne peut être inférieure à </w:t>
      </w:r>
      <w:r w:rsidRPr="00E128D3">
        <w:rPr>
          <w:b/>
          <w:bCs/>
        </w:rPr>
        <w:t>neuf ans</w:t>
      </w:r>
      <w:r w:rsidRPr="00E128D3">
        <w:t>. (</w:t>
      </w:r>
      <w:hyperlink r:id="rId24" w:tooltip="Section 2 : De la durée. (Articles L145-4 à L145-7-1)" w:history="1">
        <w:r w:rsidRPr="00E128D3">
          <w:rPr>
            <w:rStyle w:val="Lienhypertexte"/>
          </w:rPr>
          <w:t>Légifrance</w:t>
        </w:r>
      </w:hyperlink>
      <w:r w:rsidRPr="00E128D3">
        <w:t>)</w:t>
      </w:r>
    </w:p>
    <w:p w14:paraId="6705F336" w14:textId="5FB83B74" w:rsidR="00E128D3" w:rsidRPr="00E128D3" w:rsidRDefault="00E128D3" w:rsidP="00E128D3">
      <w:pPr>
        <w:spacing w:after="0" w:line="240" w:lineRule="auto"/>
      </w:pPr>
      <w:r w:rsidRPr="00E128D3">
        <w:t>Cette durée explique l’expression traditionnelle</w:t>
      </w:r>
      <w:r>
        <w:t> :</w:t>
      </w:r>
    </w:p>
    <w:p w14:paraId="6A503C5A" w14:textId="77777777" w:rsidR="00E128D3" w:rsidRPr="00E128D3" w:rsidRDefault="00E128D3" w:rsidP="00E128D3">
      <w:pPr>
        <w:spacing w:after="0" w:line="240" w:lineRule="auto"/>
      </w:pPr>
      <w:r w:rsidRPr="00E128D3">
        <w:rPr>
          <w:b/>
          <w:bCs/>
        </w:rPr>
        <w:t>bail 3-6-9</w:t>
      </w:r>
      <w:r w:rsidRPr="00E128D3">
        <w:t>.</w:t>
      </w:r>
    </w:p>
    <w:p w14:paraId="23282B74" w14:textId="2677DF11" w:rsidR="00E128D3" w:rsidRPr="00E128D3" w:rsidRDefault="00E128D3" w:rsidP="00E128D3">
      <w:pPr>
        <w:spacing w:after="0" w:line="240" w:lineRule="auto"/>
      </w:pPr>
      <w:r w:rsidRPr="00E128D3">
        <w:t>Mais cette formule doit être correctement comprise</w:t>
      </w:r>
      <w:r>
        <w:t> :</w:t>
      </w:r>
    </w:p>
    <w:p w14:paraId="5717C40D" w14:textId="7B814CB2" w:rsidR="00E128D3" w:rsidRPr="00E128D3" w:rsidRDefault="00E128D3">
      <w:pPr>
        <w:numPr>
          <w:ilvl w:val="0"/>
          <w:numId w:val="15"/>
        </w:numPr>
        <w:spacing w:after="0" w:line="240" w:lineRule="auto"/>
      </w:pPr>
      <w:r w:rsidRPr="00E128D3">
        <w:t>le bail est conclu au minimum pour neuf ans</w:t>
      </w:r>
      <w:r>
        <w:t> ;</w:t>
      </w:r>
    </w:p>
    <w:p w14:paraId="45C9086E" w14:textId="7C5BCE6E" w:rsidR="00E128D3" w:rsidRPr="00E128D3" w:rsidRDefault="00E128D3">
      <w:pPr>
        <w:numPr>
          <w:ilvl w:val="0"/>
          <w:numId w:val="15"/>
        </w:numPr>
        <w:spacing w:after="0" w:line="240" w:lineRule="auto"/>
      </w:pPr>
      <w:r w:rsidRPr="00E128D3">
        <w:t>le locataire peut en principe donner congé à l’expiration de chaque période triennale</w:t>
      </w:r>
      <w:r>
        <w:t> ;</w:t>
      </w:r>
    </w:p>
    <w:p w14:paraId="4C553868" w14:textId="77777777" w:rsidR="00E128D3" w:rsidRPr="00E128D3" w:rsidRDefault="00E128D3">
      <w:pPr>
        <w:numPr>
          <w:ilvl w:val="0"/>
          <w:numId w:val="15"/>
        </w:numPr>
        <w:spacing w:after="0" w:line="240" w:lineRule="auto"/>
      </w:pPr>
      <w:r w:rsidRPr="00E128D3">
        <w:t>le bailleur ne dispose pas d’une faculté générale équivalente de résiliation triennale. (</w:t>
      </w:r>
      <w:hyperlink r:id="rId25" w:tooltip="Section 2 : De la durée. (Articles L145-4 à L145-7-1)" w:history="1">
        <w:r w:rsidRPr="00E128D3">
          <w:rPr>
            <w:rStyle w:val="Lienhypertexte"/>
          </w:rPr>
          <w:t>Légifrance</w:t>
        </w:r>
      </w:hyperlink>
      <w:r w:rsidRPr="00E128D3">
        <w:t>)</w:t>
      </w:r>
    </w:p>
    <w:p w14:paraId="7C61BC74" w14:textId="77777777" w:rsidR="00E128D3" w:rsidRPr="00E128D3" w:rsidRDefault="00E128D3" w:rsidP="00E128D3">
      <w:pPr>
        <w:pStyle w:val="Titre1"/>
      </w:pPr>
      <w:r w:rsidRPr="00E128D3">
        <w:t>17. Le locataire peut en principe partir tous les trois ans</w:t>
      </w:r>
    </w:p>
    <w:p w14:paraId="4C87A3B4" w14:textId="4B6B4891" w:rsidR="00E128D3" w:rsidRPr="00E128D3" w:rsidRDefault="00E128D3" w:rsidP="00E128D3">
      <w:pPr>
        <w:spacing w:after="0" w:line="240" w:lineRule="auto"/>
      </w:pPr>
      <w:r w:rsidRPr="00E128D3">
        <w:t>Le locataire peut donner congé à l’expiration</w:t>
      </w:r>
      <w:r>
        <w:t> :</w:t>
      </w:r>
    </w:p>
    <w:p w14:paraId="0AA00A15" w14:textId="6F6DA8D5" w:rsidR="00E128D3" w:rsidRPr="00E128D3" w:rsidRDefault="00E128D3">
      <w:pPr>
        <w:numPr>
          <w:ilvl w:val="0"/>
          <w:numId w:val="16"/>
        </w:numPr>
        <w:spacing w:after="0" w:line="240" w:lineRule="auto"/>
      </w:pPr>
      <w:r w:rsidRPr="00E128D3">
        <w:t>de la troisième année</w:t>
      </w:r>
      <w:r>
        <w:t> ;</w:t>
      </w:r>
    </w:p>
    <w:p w14:paraId="38AF8B5D" w14:textId="6BF3B56D" w:rsidR="00E128D3" w:rsidRPr="00E128D3" w:rsidRDefault="00E128D3">
      <w:pPr>
        <w:numPr>
          <w:ilvl w:val="0"/>
          <w:numId w:val="16"/>
        </w:numPr>
        <w:spacing w:after="0" w:line="240" w:lineRule="auto"/>
      </w:pPr>
      <w:r w:rsidRPr="00E128D3">
        <w:t>de la sixième année</w:t>
      </w:r>
      <w:r>
        <w:t> ;</w:t>
      </w:r>
    </w:p>
    <w:p w14:paraId="4182506B" w14:textId="77777777" w:rsidR="00E128D3" w:rsidRPr="00E128D3" w:rsidRDefault="00E128D3">
      <w:pPr>
        <w:numPr>
          <w:ilvl w:val="0"/>
          <w:numId w:val="16"/>
        </w:numPr>
        <w:spacing w:after="0" w:line="240" w:lineRule="auto"/>
      </w:pPr>
      <w:r w:rsidRPr="00E128D3">
        <w:t>de la neuvième année,</w:t>
      </w:r>
    </w:p>
    <w:p w14:paraId="3F53E659" w14:textId="77777777" w:rsidR="00E128D3" w:rsidRPr="00E128D3" w:rsidRDefault="00E128D3" w:rsidP="00E128D3">
      <w:pPr>
        <w:spacing w:after="0" w:line="240" w:lineRule="auto"/>
      </w:pPr>
      <w:r w:rsidRPr="00E128D3">
        <w:t xml:space="preserve">en respectant un préavis d’au moins </w:t>
      </w:r>
      <w:r w:rsidRPr="00E128D3">
        <w:rPr>
          <w:b/>
          <w:bCs/>
        </w:rPr>
        <w:t>six mois</w:t>
      </w:r>
      <w:r w:rsidRPr="00E128D3">
        <w:t xml:space="preserve"> selon les formes prévues par l’article L. 145-4. (</w:t>
      </w:r>
      <w:hyperlink r:id="rId26" w:tooltip="Section 2 : De la durée. (Articles L145-4 à L145-7-1)" w:history="1">
        <w:r w:rsidRPr="00E128D3">
          <w:rPr>
            <w:rStyle w:val="Lienhypertexte"/>
          </w:rPr>
          <w:t>Légifrance</w:t>
        </w:r>
      </w:hyperlink>
      <w:r w:rsidRPr="00E128D3">
        <w:t>)</w:t>
      </w:r>
    </w:p>
    <w:p w14:paraId="10B8B722" w14:textId="3DB8325B" w:rsidR="00E128D3" w:rsidRPr="00E128D3" w:rsidRDefault="00E128D3" w:rsidP="00E128D3">
      <w:pPr>
        <w:spacing w:after="0" w:line="240" w:lineRule="auto"/>
      </w:pPr>
      <w:r w:rsidRPr="00E128D3">
        <w:t>Certaines catégories de baux peuvent prévoir des règles différentes, notamment</w:t>
      </w:r>
      <w:r>
        <w:t> :</w:t>
      </w:r>
    </w:p>
    <w:p w14:paraId="19563BD1" w14:textId="094629FB" w:rsidR="00E128D3" w:rsidRPr="00E128D3" w:rsidRDefault="00E128D3">
      <w:pPr>
        <w:numPr>
          <w:ilvl w:val="0"/>
          <w:numId w:val="17"/>
        </w:numPr>
        <w:spacing w:after="0" w:line="240" w:lineRule="auto"/>
      </w:pPr>
      <w:r w:rsidRPr="00E128D3">
        <w:t>baux de plus de neuf ans</w:t>
      </w:r>
      <w:r>
        <w:t> ;</w:t>
      </w:r>
    </w:p>
    <w:p w14:paraId="1C4177B3" w14:textId="1E38769F" w:rsidR="00E128D3" w:rsidRPr="00E128D3" w:rsidRDefault="00E128D3">
      <w:pPr>
        <w:numPr>
          <w:ilvl w:val="0"/>
          <w:numId w:val="17"/>
        </w:numPr>
        <w:spacing w:after="0" w:line="240" w:lineRule="auto"/>
      </w:pPr>
      <w:r w:rsidRPr="00E128D3">
        <w:t>locaux construits en vue d’une seule utilisation</w:t>
      </w:r>
      <w:r>
        <w:t> ;</w:t>
      </w:r>
    </w:p>
    <w:p w14:paraId="1699DF67" w14:textId="5B1635F2" w:rsidR="00E128D3" w:rsidRPr="00E128D3" w:rsidRDefault="00E128D3">
      <w:pPr>
        <w:numPr>
          <w:ilvl w:val="0"/>
          <w:numId w:val="17"/>
        </w:numPr>
        <w:spacing w:after="0" w:line="240" w:lineRule="auto"/>
      </w:pPr>
      <w:r w:rsidRPr="00E128D3">
        <w:t>locaux à usage exclusif de bureaux</w:t>
      </w:r>
      <w:r>
        <w:t> ;</w:t>
      </w:r>
    </w:p>
    <w:p w14:paraId="281C2FF0" w14:textId="77777777" w:rsidR="00E128D3" w:rsidRPr="00E128D3" w:rsidRDefault="00E128D3">
      <w:pPr>
        <w:numPr>
          <w:ilvl w:val="0"/>
          <w:numId w:val="17"/>
        </w:numPr>
        <w:spacing w:after="0" w:line="240" w:lineRule="auto"/>
      </w:pPr>
      <w:r w:rsidRPr="00E128D3">
        <w:t>certains locaux de stockage. (</w:t>
      </w:r>
      <w:hyperlink r:id="rId27" w:tooltip="Section 2 : De la durée. (Articles L145-4 à L145-7-1)" w:history="1">
        <w:r w:rsidRPr="00E128D3">
          <w:rPr>
            <w:rStyle w:val="Lienhypertexte"/>
          </w:rPr>
          <w:t>Légifrance</w:t>
        </w:r>
      </w:hyperlink>
      <w:r w:rsidRPr="00E128D3">
        <w:t>)</w:t>
      </w:r>
    </w:p>
    <w:p w14:paraId="5C67C288" w14:textId="77777777" w:rsidR="00E128D3" w:rsidRPr="00E128D3" w:rsidRDefault="00E128D3" w:rsidP="00E128D3">
      <w:pPr>
        <w:pStyle w:val="Titre1"/>
      </w:pPr>
      <w:r w:rsidRPr="00E128D3">
        <w:t>18. Le loyer initial est librement fixé</w:t>
      </w:r>
    </w:p>
    <w:p w14:paraId="139ECC07" w14:textId="77777777" w:rsidR="00E128D3" w:rsidRPr="00E128D3" w:rsidRDefault="00E128D3" w:rsidP="00E128D3">
      <w:pPr>
        <w:spacing w:after="0" w:line="240" w:lineRule="auto"/>
      </w:pPr>
      <w:r w:rsidRPr="00E128D3">
        <w:t>Les parties déterminent librement le loyer lors de la conclusion du bail, sous réserve des règles générales applicables aux contrats.</w:t>
      </w:r>
    </w:p>
    <w:p w14:paraId="4E05DC3E" w14:textId="22A89843" w:rsidR="00E128D3" w:rsidRPr="00E128D3" w:rsidRDefault="00E128D3" w:rsidP="00E128D3">
      <w:pPr>
        <w:spacing w:after="0" w:line="240" w:lineRule="auto"/>
      </w:pPr>
      <w:r w:rsidRPr="00E128D3">
        <w:t>Le statut intervient surtout ensuite pour encadrer</w:t>
      </w:r>
      <w:r>
        <w:t> :</w:t>
      </w:r>
    </w:p>
    <w:p w14:paraId="51DF1D19" w14:textId="3D134A70" w:rsidR="00E128D3" w:rsidRPr="00E128D3" w:rsidRDefault="00E128D3">
      <w:pPr>
        <w:numPr>
          <w:ilvl w:val="0"/>
          <w:numId w:val="18"/>
        </w:numPr>
        <w:spacing w:after="0" w:line="240" w:lineRule="auto"/>
      </w:pPr>
      <w:r w:rsidRPr="00E128D3">
        <w:t>la révision</w:t>
      </w:r>
      <w:r>
        <w:t> ;</w:t>
      </w:r>
    </w:p>
    <w:p w14:paraId="776C3B78" w14:textId="425C04DA" w:rsidR="00E128D3" w:rsidRPr="00E128D3" w:rsidRDefault="00E128D3">
      <w:pPr>
        <w:numPr>
          <w:ilvl w:val="0"/>
          <w:numId w:val="18"/>
        </w:numPr>
        <w:spacing w:after="0" w:line="240" w:lineRule="auto"/>
      </w:pPr>
      <w:r w:rsidRPr="00E128D3">
        <w:t>le renouvellement</w:t>
      </w:r>
      <w:r>
        <w:t> ;</w:t>
      </w:r>
    </w:p>
    <w:p w14:paraId="0E32604F" w14:textId="77777777" w:rsidR="00E128D3" w:rsidRPr="00E128D3" w:rsidRDefault="00E128D3">
      <w:pPr>
        <w:numPr>
          <w:ilvl w:val="0"/>
          <w:numId w:val="18"/>
        </w:numPr>
        <w:spacing w:after="0" w:line="240" w:lineRule="auto"/>
      </w:pPr>
      <w:r w:rsidRPr="00E128D3">
        <w:t>certaines clauses d’indexation.</w:t>
      </w:r>
    </w:p>
    <w:p w14:paraId="3DA577F6" w14:textId="6DF3AC78" w:rsidR="00E128D3" w:rsidRPr="00E128D3" w:rsidRDefault="00E128D3" w:rsidP="00E128D3">
      <w:pPr>
        <w:spacing w:after="0" w:line="240" w:lineRule="auto"/>
      </w:pPr>
      <w:r w:rsidRPr="00E128D3">
        <w:t xml:space="preserve">Lorsqu’un loyer renouvelé ou révisé doit être fixé judiciairement, la </w:t>
      </w:r>
      <w:r w:rsidRPr="00E128D3">
        <w:rPr>
          <w:b/>
          <w:bCs/>
        </w:rPr>
        <w:t>valeur locative</w:t>
      </w:r>
      <w:r w:rsidRPr="00E128D3">
        <w:t xml:space="preserve"> prend notamment en considération</w:t>
      </w:r>
      <w:r>
        <w:t> :</w:t>
      </w:r>
    </w:p>
    <w:p w14:paraId="0FF7FA3A" w14:textId="43FB43C0" w:rsidR="00E128D3" w:rsidRPr="00E128D3" w:rsidRDefault="00E128D3">
      <w:pPr>
        <w:numPr>
          <w:ilvl w:val="0"/>
          <w:numId w:val="19"/>
        </w:numPr>
        <w:spacing w:after="0" w:line="240" w:lineRule="auto"/>
      </w:pPr>
      <w:r w:rsidRPr="00E128D3">
        <w:t>caractéristiques du local</w:t>
      </w:r>
      <w:r>
        <w:t> ;</w:t>
      </w:r>
    </w:p>
    <w:p w14:paraId="37473F17" w14:textId="02226CFC" w:rsidR="00E128D3" w:rsidRPr="00E128D3" w:rsidRDefault="00E128D3">
      <w:pPr>
        <w:numPr>
          <w:ilvl w:val="0"/>
          <w:numId w:val="19"/>
        </w:numPr>
        <w:spacing w:after="0" w:line="240" w:lineRule="auto"/>
      </w:pPr>
      <w:r w:rsidRPr="00E128D3">
        <w:t>destination des lieux</w:t>
      </w:r>
      <w:r>
        <w:t> ;</w:t>
      </w:r>
    </w:p>
    <w:p w14:paraId="434C1BCA" w14:textId="22A217F2" w:rsidR="00E128D3" w:rsidRPr="00E128D3" w:rsidRDefault="00E128D3">
      <w:pPr>
        <w:numPr>
          <w:ilvl w:val="0"/>
          <w:numId w:val="19"/>
        </w:numPr>
        <w:spacing w:after="0" w:line="240" w:lineRule="auto"/>
      </w:pPr>
      <w:r w:rsidRPr="00E128D3">
        <w:t>obligations respectives des parties</w:t>
      </w:r>
      <w:r>
        <w:t> ;</w:t>
      </w:r>
    </w:p>
    <w:p w14:paraId="59D2E454" w14:textId="4846FB8C" w:rsidR="00E128D3" w:rsidRPr="00E128D3" w:rsidRDefault="00E128D3">
      <w:pPr>
        <w:numPr>
          <w:ilvl w:val="0"/>
          <w:numId w:val="19"/>
        </w:numPr>
        <w:spacing w:after="0" w:line="240" w:lineRule="auto"/>
      </w:pPr>
      <w:r w:rsidRPr="00E128D3">
        <w:t>facteurs locaux de commercialité</w:t>
      </w:r>
      <w:r>
        <w:t> ;</w:t>
      </w:r>
    </w:p>
    <w:p w14:paraId="0A8E6374" w14:textId="77777777" w:rsidR="00E128D3" w:rsidRPr="00E128D3" w:rsidRDefault="00E128D3">
      <w:pPr>
        <w:numPr>
          <w:ilvl w:val="0"/>
          <w:numId w:val="19"/>
        </w:numPr>
        <w:spacing w:after="0" w:line="240" w:lineRule="auto"/>
      </w:pPr>
      <w:r w:rsidRPr="00E128D3">
        <w:t>prix pratiqués dans le voisinage. (</w:t>
      </w:r>
      <w:hyperlink r:id="rId28" w:tooltip="Section 6 : Du loyer. (Articles L145-33 à L145-40)" w:history="1">
        <w:r w:rsidRPr="00E128D3">
          <w:rPr>
            <w:rStyle w:val="Lienhypertexte"/>
          </w:rPr>
          <w:t>Légifrance</w:t>
        </w:r>
      </w:hyperlink>
      <w:r w:rsidRPr="00E128D3">
        <w:t>)</w:t>
      </w:r>
    </w:p>
    <w:p w14:paraId="138A1310" w14:textId="77777777" w:rsidR="00E128D3" w:rsidRPr="00E128D3" w:rsidRDefault="00E128D3" w:rsidP="00E128D3">
      <w:pPr>
        <w:pStyle w:val="Titre1"/>
      </w:pPr>
      <w:r w:rsidRPr="00E128D3">
        <w:t>19. La révision triennale du loyer</w:t>
      </w:r>
    </w:p>
    <w:p w14:paraId="330A0FF3" w14:textId="77777777" w:rsidR="00E128D3" w:rsidRPr="00E128D3" w:rsidRDefault="00E128D3" w:rsidP="00E128D3">
      <w:pPr>
        <w:spacing w:after="0" w:line="240" w:lineRule="auto"/>
      </w:pPr>
      <w:r w:rsidRPr="00E128D3">
        <w:t xml:space="preserve">Une demande de révision peut en principe être présentée au moins </w:t>
      </w:r>
      <w:r w:rsidRPr="00E128D3">
        <w:rPr>
          <w:b/>
          <w:bCs/>
        </w:rPr>
        <w:t>trois ans</w:t>
      </w:r>
      <w:r w:rsidRPr="00E128D3">
        <w:t xml:space="preserve"> après l’entrée en jouissance ou le point de départ du bail renouvelé.</w:t>
      </w:r>
    </w:p>
    <w:p w14:paraId="2412AD87" w14:textId="77777777" w:rsidR="00E128D3" w:rsidRPr="00E128D3" w:rsidRDefault="00E128D3" w:rsidP="00E128D3">
      <w:pPr>
        <w:spacing w:after="0" w:line="240" w:lineRule="auto"/>
      </w:pPr>
      <w:r w:rsidRPr="00E128D3">
        <w:t>De nouvelles demandes sont ensuite possibles tous les trois ans à compter de la date à laquelle le nouveau prix devient applicable. (</w:t>
      </w:r>
      <w:hyperlink r:id="rId29" w:tooltip="Article L145-38 - Code de commerce" w:history="1">
        <w:r w:rsidRPr="00E128D3">
          <w:rPr>
            <w:rStyle w:val="Lienhypertexte"/>
          </w:rPr>
          <w:t>Légifrance</w:t>
        </w:r>
      </w:hyperlink>
      <w:r w:rsidRPr="00E128D3">
        <w:t>)</w:t>
      </w:r>
    </w:p>
    <w:p w14:paraId="7B97DC1F" w14:textId="77777777" w:rsidR="00E128D3" w:rsidRPr="00E128D3" w:rsidRDefault="00E128D3" w:rsidP="00E128D3">
      <w:pPr>
        <w:spacing w:after="0" w:line="240" w:lineRule="auto"/>
      </w:pPr>
      <w:r w:rsidRPr="00E128D3">
        <w:t xml:space="preserve">Le statut prévoit également des règles spécifiques lorsque le bail comporte une </w:t>
      </w:r>
      <w:r w:rsidRPr="00E128D3">
        <w:rPr>
          <w:b/>
          <w:bCs/>
        </w:rPr>
        <w:t>clause d’échelle mobile</w:t>
      </w:r>
      <w:r w:rsidRPr="00E128D3">
        <w:t xml:space="preserve"> et lorsque la variation résultant de cette clause dépasse le seuil légal. (</w:t>
      </w:r>
      <w:hyperlink r:id="rId30" w:tooltip="Section 6 : Du loyer. (Articles L145-33 à L145-40)" w:history="1">
        <w:r w:rsidRPr="00E128D3">
          <w:rPr>
            <w:rStyle w:val="Lienhypertexte"/>
          </w:rPr>
          <w:t>Légifrance</w:t>
        </w:r>
      </w:hyperlink>
      <w:r w:rsidRPr="00E128D3">
        <w:t>)</w:t>
      </w:r>
    </w:p>
    <w:p w14:paraId="0BE4876D" w14:textId="195948C3" w:rsidR="00E128D3" w:rsidRPr="00E128D3" w:rsidRDefault="00E128D3" w:rsidP="00E128D3">
      <w:pPr>
        <w:pStyle w:val="Titre1"/>
      </w:pPr>
      <w:r w:rsidRPr="00E128D3">
        <w:t>20. Une nouveauté 2026</w:t>
      </w:r>
      <w:r>
        <w:t> :</w:t>
      </w:r>
      <w:r w:rsidRPr="00E128D3">
        <w:t xml:space="preserve"> possibilité de mensualiser certains loyers commerciaux</w:t>
      </w:r>
    </w:p>
    <w:p w14:paraId="592C254E" w14:textId="77777777" w:rsidR="00E128D3" w:rsidRPr="00E128D3" w:rsidRDefault="00E128D3" w:rsidP="00E128D3">
      <w:pPr>
        <w:spacing w:after="0" w:line="240" w:lineRule="auto"/>
      </w:pPr>
      <w:r w:rsidRPr="00E128D3">
        <w:t>Depuis la loi du 26 mai 2026, le paiement mensuel du loyer est de droit, à la demande du locataire, pour certains locaux affectés notamment au commerce de détail, de gros ou à des prestations de services commerciales ou artisanales, sous réserve en particulier de l’absence d’arriérés non contestés de loyers et charges. (</w:t>
      </w:r>
      <w:hyperlink r:id="rId31" w:tooltip="Article L145-32-1 - Code de commerce" w:history="1">
        <w:r w:rsidRPr="00E128D3">
          <w:rPr>
            <w:rStyle w:val="Lienhypertexte"/>
          </w:rPr>
          <w:t>Légifrance</w:t>
        </w:r>
      </w:hyperlink>
      <w:r w:rsidRPr="00E128D3">
        <w:t>)</w:t>
      </w:r>
    </w:p>
    <w:p w14:paraId="0DA010D5" w14:textId="77777777" w:rsidR="00E128D3" w:rsidRPr="00E128D3" w:rsidRDefault="00E128D3" w:rsidP="00E128D3">
      <w:pPr>
        <w:spacing w:after="0" w:line="240" w:lineRule="auto"/>
        <w:rPr>
          <w:b/>
          <w:bCs/>
        </w:rPr>
      </w:pPr>
      <w:r w:rsidRPr="00E128D3">
        <w:rPr>
          <w:b/>
          <w:bCs/>
        </w:rPr>
        <w:t>Exemple</w:t>
      </w:r>
    </w:p>
    <w:p w14:paraId="50B279A5" w14:textId="77777777" w:rsidR="00E128D3" w:rsidRPr="00E128D3" w:rsidRDefault="00E128D3" w:rsidP="00E128D3">
      <w:pPr>
        <w:spacing w:after="0" w:line="240" w:lineRule="auto"/>
      </w:pPr>
      <w:r w:rsidRPr="00E128D3">
        <w:t>Le bail prévoit un loyer payable trimestriellement d’avance.</w:t>
      </w:r>
    </w:p>
    <w:p w14:paraId="69F1869B" w14:textId="77777777" w:rsidR="00E128D3" w:rsidRPr="00E128D3" w:rsidRDefault="00E128D3" w:rsidP="00E128D3">
      <w:pPr>
        <w:spacing w:after="0" w:line="240" w:lineRule="auto"/>
      </w:pPr>
      <w:r w:rsidRPr="00E128D3">
        <w:t xml:space="preserve">Le commerçant remplissant les conditions légales peut demander une </w:t>
      </w:r>
      <w:r w:rsidRPr="00E128D3">
        <w:rPr>
          <w:b/>
          <w:bCs/>
        </w:rPr>
        <w:t>mensualisation</w:t>
      </w:r>
      <w:r w:rsidRPr="00E128D3">
        <w:t>.</w:t>
      </w:r>
    </w:p>
    <w:p w14:paraId="71C5D613" w14:textId="77777777" w:rsidR="00E128D3" w:rsidRPr="00E128D3" w:rsidRDefault="00E128D3" w:rsidP="00E128D3">
      <w:pPr>
        <w:spacing w:after="0" w:line="240" w:lineRule="auto"/>
      </w:pPr>
      <w:r w:rsidRPr="00E128D3">
        <w:t xml:space="preserve">Cette mesure constitue une évolution importante du droit applicable depuis le </w:t>
      </w:r>
      <w:r w:rsidRPr="00E128D3">
        <w:rPr>
          <w:b/>
          <w:bCs/>
        </w:rPr>
        <w:t>28 mai 2026</w:t>
      </w:r>
      <w:r w:rsidRPr="00E128D3">
        <w:t>. (</w:t>
      </w:r>
      <w:hyperlink r:id="rId32" w:tooltip="Article L145-32-1 - Code de commerce" w:history="1">
        <w:r w:rsidRPr="00E128D3">
          <w:rPr>
            <w:rStyle w:val="Lienhypertexte"/>
          </w:rPr>
          <w:t>Légifrance</w:t>
        </w:r>
      </w:hyperlink>
      <w:r w:rsidRPr="00E128D3">
        <w:t>)</w:t>
      </w:r>
    </w:p>
    <w:p w14:paraId="4DB29B13" w14:textId="77777777" w:rsidR="00E128D3" w:rsidRPr="00E128D3" w:rsidRDefault="00E128D3" w:rsidP="00E128D3">
      <w:pPr>
        <w:pStyle w:val="Titre1"/>
      </w:pPr>
      <w:r w:rsidRPr="00E128D3">
        <w:t>21. Charges, impôts et taxes doivent être identifiés</w:t>
      </w:r>
    </w:p>
    <w:p w14:paraId="57F411A0" w14:textId="3B77DAC8" w:rsidR="00E128D3" w:rsidRPr="00E128D3" w:rsidRDefault="00E128D3" w:rsidP="00E128D3">
      <w:pPr>
        <w:spacing w:after="0" w:line="240" w:lineRule="auto"/>
      </w:pPr>
      <w:r w:rsidRPr="00E128D3">
        <w:t xml:space="preserve">Le bail doit comporter un </w:t>
      </w:r>
      <w:r w:rsidRPr="00E128D3">
        <w:rPr>
          <w:b/>
          <w:bCs/>
        </w:rPr>
        <w:t>inventaire précis et limitatif</w:t>
      </w:r>
      <w:r w:rsidRPr="00E128D3">
        <w:t xml:space="preserve"> des catégories</w:t>
      </w:r>
      <w:r>
        <w:t> :</w:t>
      </w:r>
    </w:p>
    <w:p w14:paraId="49550C47" w14:textId="69FEE429" w:rsidR="00E128D3" w:rsidRPr="00E128D3" w:rsidRDefault="00E128D3">
      <w:pPr>
        <w:numPr>
          <w:ilvl w:val="0"/>
          <w:numId w:val="20"/>
        </w:numPr>
        <w:spacing w:after="0" w:line="240" w:lineRule="auto"/>
      </w:pPr>
      <w:r w:rsidRPr="00E128D3">
        <w:t>de charges</w:t>
      </w:r>
      <w:r>
        <w:t> ;</w:t>
      </w:r>
    </w:p>
    <w:p w14:paraId="5EC4E1DF" w14:textId="48BC2B00" w:rsidR="00E128D3" w:rsidRPr="00E128D3" w:rsidRDefault="00E128D3">
      <w:pPr>
        <w:numPr>
          <w:ilvl w:val="0"/>
          <w:numId w:val="20"/>
        </w:numPr>
        <w:spacing w:after="0" w:line="240" w:lineRule="auto"/>
      </w:pPr>
      <w:r w:rsidRPr="00E128D3">
        <w:t>d’impôts</w:t>
      </w:r>
      <w:r>
        <w:t> ;</w:t>
      </w:r>
    </w:p>
    <w:p w14:paraId="421A1F4C" w14:textId="7323266E" w:rsidR="00E128D3" w:rsidRPr="00E128D3" w:rsidRDefault="00E128D3">
      <w:pPr>
        <w:numPr>
          <w:ilvl w:val="0"/>
          <w:numId w:val="20"/>
        </w:numPr>
        <w:spacing w:after="0" w:line="240" w:lineRule="auto"/>
      </w:pPr>
      <w:r w:rsidRPr="00E128D3">
        <w:t>de taxes</w:t>
      </w:r>
      <w:r>
        <w:t> ;</w:t>
      </w:r>
    </w:p>
    <w:p w14:paraId="7F2F870A" w14:textId="77777777" w:rsidR="00E128D3" w:rsidRPr="00E128D3" w:rsidRDefault="00E128D3">
      <w:pPr>
        <w:numPr>
          <w:ilvl w:val="0"/>
          <w:numId w:val="20"/>
        </w:numPr>
        <w:spacing w:after="0" w:line="240" w:lineRule="auto"/>
      </w:pPr>
      <w:r w:rsidRPr="00E128D3">
        <w:t>de redevances</w:t>
      </w:r>
    </w:p>
    <w:p w14:paraId="5D5C8211" w14:textId="77777777" w:rsidR="00E128D3" w:rsidRPr="00E128D3" w:rsidRDefault="00E128D3" w:rsidP="00E128D3">
      <w:pPr>
        <w:spacing w:after="0" w:line="240" w:lineRule="auto"/>
      </w:pPr>
      <w:r w:rsidRPr="00E128D3">
        <w:t>liées au bail, en précisant leur répartition entre bailleur et locataire. Un état récapitulatif annuel doit être communiqué au locataire. (</w:t>
      </w:r>
      <w:hyperlink r:id="rId33" w:tooltip="Article L145-40-2 - Code de commerce" w:history="1">
        <w:r w:rsidRPr="00E128D3">
          <w:rPr>
            <w:rStyle w:val="Lienhypertexte"/>
          </w:rPr>
          <w:t>Légifrance</w:t>
        </w:r>
      </w:hyperlink>
      <w:r w:rsidRPr="00E128D3">
        <w:t>)</w:t>
      </w:r>
    </w:p>
    <w:p w14:paraId="40F6B4B2" w14:textId="77777777" w:rsidR="00E128D3" w:rsidRPr="00E128D3" w:rsidRDefault="00E128D3" w:rsidP="00E128D3">
      <w:pPr>
        <w:spacing w:after="0" w:line="240" w:lineRule="auto"/>
        <w:rPr>
          <w:b/>
          <w:bCs/>
        </w:rPr>
      </w:pPr>
      <w:r w:rsidRPr="00E128D3">
        <w:rPr>
          <w:b/>
          <w:bCs/>
        </w:rPr>
        <w:t>Point essentiel</w:t>
      </w:r>
    </w:p>
    <w:p w14:paraId="537EE76E" w14:textId="245CD68C" w:rsidR="00E128D3" w:rsidRPr="00E128D3" w:rsidRDefault="00E128D3" w:rsidP="00E128D3">
      <w:pPr>
        <w:spacing w:after="0" w:line="240" w:lineRule="auto"/>
      </w:pPr>
      <w:r w:rsidRPr="00E128D3">
        <w:t>Une clause générale du type</w:t>
      </w:r>
      <w:r>
        <w:t> :</w:t>
      </w:r>
    </w:p>
    <w:p w14:paraId="46814DD6" w14:textId="700984E7" w:rsidR="00E128D3" w:rsidRPr="00E128D3" w:rsidRDefault="00E128D3" w:rsidP="00E128D3">
      <w:pPr>
        <w:spacing w:after="0" w:line="240" w:lineRule="auto"/>
      </w:pPr>
      <w:r>
        <w:t>« </w:t>
      </w:r>
      <w:r w:rsidRPr="00E128D3">
        <w:t>toutes les dépenses liées à l’immeuble seront intégralement supportées par le locataire</w:t>
      </w:r>
      <w:r>
        <w:t> »</w:t>
      </w:r>
    </w:p>
    <w:p w14:paraId="6993F3A4" w14:textId="77777777" w:rsidR="00E128D3" w:rsidRPr="00E128D3" w:rsidRDefault="00E128D3" w:rsidP="00E128D3">
      <w:pPr>
        <w:spacing w:after="0" w:line="240" w:lineRule="auto"/>
      </w:pPr>
      <w:r w:rsidRPr="00E128D3">
        <w:t>ne doit pas être appliquée sans vérifier les règles impératives régissant la répartition des charges.</w:t>
      </w:r>
    </w:p>
    <w:p w14:paraId="6BF6BFCE" w14:textId="77777777" w:rsidR="00E128D3" w:rsidRPr="00E128D3" w:rsidRDefault="00E128D3" w:rsidP="00E128D3">
      <w:pPr>
        <w:pStyle w:val="Titre1"/>
      </w:pPr>
      <w:r w:rsidRPr="00E128D3">
        <w:t>22. L’activité autorisée est déterminée par la destination du bail</w:t>
      </w:r>
    </w:p>
    <w:p w14:paraId="74292AE2" w14:textId="77777777" w:rsidR="00E128D3" w:rsidRPr="00E128D3" w:rsidRDefault="00E128D3" w:rsidP="00E128D3">
      <w:pPr>
        <w:spacing w:after="0" w:line="240" w:lineRule="auto"/>
      </w:pPr>
      <w:r w:rsidRPr="00E128D3">
        <w:t>Le bail précise normalement les activités pouvant être exercées dans les lieux.</w:t>
      </w:r>
    </w:p>
    <w:p w14:paraId="6A5F136A" w14:textId="77777777" w:rsidR="00E128D3" w:rsidRPr="00E128D3" w:rsidRDefault="00E128D3" w:rsidP="00E128D3">
      <w:pPr>
        <w:spacing w:after="0" w:line="240" w:lineRule="auto"/>
        <w:rPr>
          <w:b/>
          <w:bCs/>
        </w:rPr>
      </w:pPr>
      <w:r w:rsidRPr="00E128D3">
        <w:rPr>
          <w:b/>
          <w:bCs/>
        </w:rPr>
        <w:t>Exemple</w:t>
      </w:r>
    </w:p>
    <w:p w14:paraId="5C78B853" w14:textId="3BCBE7D9" w:rsidR="00E128D3" w:rsidRPr="00E128D3" w:rsidRDefault="00E128D3" w:rsidP="00E128D3">
      <w:pPr>
        <w:spacing w:after="0" w:line="240" w:lineRule="auto"/>
      </w:pPr>
      <w:r w:rsidRPr="00E128D3">
        <w:t>Destination</w:t>
      </w:r>
      <w:r>
        <w:t> :</w:t>
      </w:r>
    </w:p>
    <w:p w14:paraId="1E443ACC" w14:textId="77777777" w:rsidR="00E128D3" w:rsidRPr="00E128D3" w:rsidRDefault="00E128D3" w:rsidP="00E128D3">
      <w:pPr>
        <w:spacing w:after="0" w:line="240" w:lineRule="auto"/>
      </w:pPr>
      <w:r w:rsidRPr="00E128D3">
        <w:t>vente de vêtements et accessoires de mode.</w:t>
      </w:r>
    </w:p>
    <w:p w14:paraId="3A905424" w14:textId="09F75728" w:rsidR="00E128D3" w:rsidRPr="00E128D3" w:rsidRDefault="00E128D3" w:rsidP="00E128D3">
      <w:pPr>
        <w:spacing w:after="0" w:line="240" w:lineRule="auto"/>
      </w:pPr>
      <w:r w:rsidRPr="00E128D3">
        <w:t>Le locataire ne peut pas décider librement de transformer le magasin en restaurant sans examiner</w:t>
      </w:r>
      <w:r>
        <w:t> :</w:t>
      </w:r>
    </w:p>
    <w:p w14:paraId="4DF8AD1D" w14:textId="08090852" w:rsidR="00E128D3" w:rsidRPr="00E128D3" w:rsidRDefault="00E128D3">
      <w:pPr>
        <w:numPr>
          <w:ilvl w:val="0"/>
          <w:numId w:val="21"/>
        </w:numPr>
        <w:spacing w:after="0" w:line="240" w:lineRule="auto"/>
      </w:pPr>
      <w:r w:rsidRPr="00E128D3">
        <w:t>les clauses du bail</w:t>
      </w:r>
      <w:r>
        <w:t> ;</w:t>
      </w:r>
    </w:p>
    <w:p w14:paraId="581608AD" w14:textId="77777777" w:rsidR="00E128D3" w:rsidRPr="00E128D3" w:rsidRDefault="00E128D3">
      <w:pPr>
        <w:numPr>
          <w:ilvl w:val="0"/>
          <w:numId w:val="21"/>
        </w:numPr>
        <w:spacing w:after="0" w:line="240" w:lineRule="auto"/>
      </w:pPr>
      <w:r w:rsidRPr="00E128D3">
        <w:t xml:space="preserve">le régime légal de la </w:t>
      </w:r>
      <w:r w:rsidRPr="00E128D3">
        <w:rPr>
          <w:b/>
          <w:bCs/>
        </w:rPr>
        <w:t>déspécialisation</w:t>
      </w:r>
      <w:r w:rsidRPr="00E128D3">
        <w:t>.</w:t>
      </w:r>
    </w:p>
    <w:p w14:paraId="6057B833" w14:textId="77777777" w:rsidR="00E128D3" w:rsidRPr="00E128D3" w:rsidRDefault="00E128D3" w:rsidP="00E128D3">
      <w:pPr>
        <w:pStyle w:val="Titre1"/>
      </w:pPr>
      <w:r w:rsidRPr="00E128D3">
        <w:t>23. La déspécialisation partielle</w:t>
      </w:r>
    </w:p>
    <w:p w14:paraId="20427730" w14:textId="77777777" w:rsidR="00E128D3" w:rsidRPr="00E128D3" w:rsidRDefault="00E128D3" w:rsidP="00E128D3">
      <w:pPr>
        <w:spacing w:after="0" w:line="240" w:lineRule="auto"/>
      </w:pPr>
      <w:r w:rsidRPr="00E128D3">
        <w:t xml:space="preserve">La </w:t>
      </w:r>
      <w:r w:rsidRPr="00E128D3">
        <w:rPr>
          <w:b/>
          <w:bCs/>
        </w:rPr>
        <w:t>déspécialisation partielle</w:t>
      </w:r>
      <w:r w:rsidRPr="00E128D3">
        <w:t xml:space="preserve"> permet au locataire d’ajouter aux activités prévues au bail des activités </w:t>
      </w:r>
      <w:r w:rsidRPr="00E128D3">
        <w:rPr>
          <w:b/>
          <w:bCs/>
        </w:rPr>
        <w:t>connexes ou complémentaires</w:t>
      </w:r>
      <w:r w:rsidRPr="00E128D3">
        <w:t>.</w:t>
      </w:r>
    </w:p>
    <w:p w14:paraId="30E32D2D" w14:textId="77777777" w:rsidR="00E128D3" w:rsidRPr="00E128D3" w:rsidRDefault="00E128D3" w:rsidP="00E128D3">
      <w:pPr>
        <w:spacing w:after="0" w:line="240" w:lineRule="auto"/>
      </w:pPr>
      <w:r w:rsidRPr="00E128D3">
        <w:t>L’article L. 145-47 l’autorise sous réserve du respect de la procédure d’information du bailleur. Celui-ci peut contester le caractère connexe ou complémentaire selon le régime légal. (</w:t>
      </w:r>
      <w:hyperlink r:id="rId34" w:tooltip="Article L145-47 - Code de commerce" w:history="1">
        <w:r w:rsidRPr="00E128D3">
          <w:rPr>
            <w:rStyle w:val="Lienhypertexte"/>
          </w:rPr>
          <w:t>Légifrance</w:t>
        </w:r>
      </w:hyperlink>
      <w:r w:rsidRPr="00E128D3">
        <w:t>)</w:t>
      </w:r>
    </w:p>
    <w:p w14:paraId="1648EECB" w14:textId="77777777" w:rsidR="00E128D3" w:rsidRPr="00E128D3" w:rsidRDefault="00E128D3" w:rsidP="00E128D3">
      <w:pPr>
        <w:spacing w:after="0" w:line="240" w:lineRule="auto"/>
        <w:rPr>
          <w:b/>
          <w:bCs/>
        </w:rPr>
      </w:pPr>
      <w:r w:rsidRPr="00E128D3">
        <w:rPr>
          <w:b/>
          <w:bCs/>
        </w:rPr>
        <w:t>Exemple</w:t>
      </w:r>
    </w:p>
    <w:p w14:paraId="06FD9440" w14:textId="0C481335" w:rsidR="00E128D3" w:rsidRPr="00E128D3" w:rsidRDefault="00E128D3" w:rsidP="00E128D3">
      <w:pPr>
        <w:spacing w:after="0" w:line="240" w:lineRule="auto"/>
      </w:pPr>
      <w:r w:rsidRPr="00E128D3">
        <w:t>Un commerce principal de chaussures souhaite adjoindre la vente</w:t>
      </w:r>
      <w:r>
        <w:t> :</w:t>
      </w:r>
    </w:p>
    <w:p w14:paraId="492D1F0F" w14:textId="1A2B59B7" w:rsidR="00E128D3" w:rsidRPr="00E128D3" w:rsidRDefault="00E128D3">
      <w:pPr>
        <w:numPr>
          <w:ilvl w:val="0"/>
          <w:numId w:val="22"/>
        </w:numPr>
        <w:spacing w:after="0" w:line="240" w:lineRule="auto"/>
      </w:pPr>
      <w:r w:rsidRPr="00E128D3">
        <w:t>de produits d’entretien pour chaussures</w:t>
      </w:r>
      <w:r>
        <w:t> ;</w:t>
      </w:r>
    </w:p>
    <w:p w14:paraId="630D6B0C" w14:textId="77777777" w:rsidR="00E128D3" w:rsidRPr="00E128D3" w:rsidRDefault="00E128D3">
      <w:pPr>
        <w:numPr>
          <w:ilvl w:val="0"/>
          <w:numId w:val="22"/>
        </w:numPr>
        <w:spacing w:after="0" w:line="240" w:lineRule="auto"/>
      </w:pPr>
      <w:r w:rsidRPr="00E128D3">
        <w:t>de certains accessoires directement liés.</w:t>
      </w:r>
    </w:p>
    <w:p w14:paraId="14D09B15" w14:textId="77777777" w:rsidR="00E128D3" w:rsidRPr="00E128D3" w:rsidRDefault="00E128D3" w:rsidP="00E128D3">
      <w:pPr>
        <w:spacing w:after="0" w:line="240" w:lineRule="auto"/>
      </w:pPr>
      <w:r w:rsidRPr="00E128D3">
        <w:t>Le caractère connexe ou complémentaire peut être recherché.</w:t>
      </w:r>
    </w:p>
    <w:p w14:paraId="21DA2170" w14:textId="77777777" w:rsidR="00E128D3" w:rsidRPr="00E128D3" w:rsidRDefault="00E128D3" w:rsidP="00E128D3">
      <w:pPr>
        <w:spacing w:after="0" w:line="240" w:lineRule="auto"/>
        <w:rPr>
          <w:b/>
          <w:bCs/>
        </w:rPr>
      </w:pPr>
      <w:r w:rsidRPr="00E128D3">
        <w:rPr>
          <w:b/>
          <w:bCs/>
        </w:rPr>
        <w:t>Contre-exemple</w:t>
      </w:r>
    </w:p>
    <w:p w14:paraId="484190FE" w14:textId="77777777" w:rsidR="00E128D3" w:rsidRPr="00E128D3" w:rsidRDefault="00E128D3" w:rsidP="00E128D3">
      <w:pPr>
        <w:spacing w:after="0" w:line="240" w:lineRule="auto"/>
      </w:pPr>
      <w:r w:rsidRPr="00E128D3">
        <w:t>Transformer une librairie en restaurant ne constitue pas normalement une simple adjonction d’activité connexe.</w:t>
      </w:r>
    </w:p>
    <w:p w14:paraId="166428CF" w14:textId="77777777" w:rsidR="00E128D3" w:rsidRPr="00E128D3" w:rsidRDefault="00E128D3" w:rsidP="00E128D3">
      <w:pPr>
        <w:pStyle w:val="Titre1"/>
      </w:pPr>
      <w:r w:rsidRPr="00E128D3">
        <w:t>24. La déspécialisation totale</w:t>
      </w:r>
    </w:p>
    <w:p w14:paraId="1B7E3A15" w14:textId="77777777" w:rsidR="00E128D3" w:rsidRPr="00E128D3" w:rsidRDefault="00E128D3" w:rsidP="00E128D3">
      <w:pPr>
        <w:spacing w:after="0" w:line="240" w:lineRule="auto"/>
      </w:pPr>
      <w:r w:rsidRPr="00E128D3">
        <w:t xml:space="preserve">La </w:t>
      </w:r>
      <w:r w:rsidRPr="00E128D3">
        <w:rPr>
          <w:b/>
          <w:bCs/>
        </w:rPr>
        <w:t>déspécialisation totale ou plénière</w:t>
      </w:r>
      <w:r w:rsidRPr="00E128D3">
        <w:t xml:space="preserve"> permet de remplacer l’activité prévue par une ou plusieurs activités différentes lorsque les conditions légales sont réunies.</w:t>
      </w:r>
    </w:p>
    <w:p w14:paraId="548709E6" w14:textId="0A1CD0EB" w:rsidR="00E128D3" w:rsidRPr="00E128D3" w:rsidRDefault="00E128D3" w:rsidP="00E128D3">
      <w:pPr>
        <w:spacing w:after="0" w:line="240" w:lineRule="auto"/>
      </w:pPr>
      <w:r w:rsidRPr="00E128D3">
        <w:t>L’article L. 145-48 permet notamment cette transformation compte tenu</w:t>
      </w:r>
      <w:r>
        <w:t> :</w:t>
      </w:r>
    </w:p>
    <w:p w14:paraId="5B93A753" w14:textId="628F7BFE" w:rsidR="00E128D3" w:rsidRPr="00E128D3" w:rsidRDefault="00E128D3">
      <w:pPr>
        <w:numPr>
          <w:ilvl w:val="0"/>
          <w:numId w:val="23"/>
        </w:numPr>
        <w:spacing w:after="0" w:line="240" w:lineRule="auto"/>
      </w:pPr>
      <w:r w:rsidRPr="00E128D3">
        <w:t>de la conjoncture économique</w:t>
      </w:r>
      <w:r>
        <w:t> ;</w:t>
      </w:r>
    </w:p>
    <w:p w14:paraId="4A871523" w14:textId="2183568B" w:rsidR="00E128D3" w:rsidRPr="00E128D3" w:rsidRDefault="00E128D3">
      <w:pPr>
        <w:numPr>
          <w:ilvl w:val="0"/>
          <w:numId w:val="23"/>
        </w:numPr>
        <w:spacing w:after="0" w:line="240" w:lineRule="auto"/>
      </w:pPr>
      <w:r w:rsidRPr="00E128D3">
        <w:t>des nécessités de l’organisation rationnelle de la distribution</w:t>
      </w:r>
      <w:r>
        <w:t> ;</w:t>
      </w:r>
    </w:p>
    <w:p w14:paraId="3B42AE77" w14:textId="77777777" w:rsidR="00E128D3" w:rsidRPr="00E128D3" w:rsidRDefault="00E128D3" w:rsidP="00E128D3">
      <w:pPr>
        <w:spacing w:after="0" w:line="240" w:lineRule="auto"/>
      </w:pPr>
      <w:r w:rsidRPr="00E128D3">
        <w:t>lorsque les nouvelles activités sont compatibles avec la destination, les caractères et la situation de l’immeuble. (</w:t>
      </w:r>
      <w:hyperlink r:id="rId35" w:tooltip="Section 8 : De la déspécialisation. (Articles L145-47 à L145-55) - Légifrance" w:history="1">
        <w:r w:rsidRPr="00E128D3">
          <w:rPr>
            <w:rStyle w:val="Lienhypertexte"/>
          </w:rPr>
          <w:t>Légifrance</w:t>
        </w:r>
      </w:hyperlink>
      <w:r w:rsidRPr="00E128D3">
        <w:t>)</w:t>
      </w:r>
    </w:p>
    <w:p w14:paraId="082BE167" w14:textId="77777777" w:rsidR="00E128D3" w:rsidRPr="00E128D3" w:rsidRDefault="00E128D3" w:rsidP="00E128D3">
      <w:pPr>
        <w:spacing w:after="0" w:line="240" w:lineRule="auto"/>
      </w:pPr>
      <w:r w:rsidRPr="00E128D3">
        <w:t xml:space="preserve">Le locataire doit présenter au bailleur une demande précisant les activités envisagées selon le formalisme légal. En cas de désaccord, le </w:t>
      </w:r>
      <w:r w:rsidRPr="00E128D3">
        <w:rPr>
          <w:b/>
          <w:bCs/>
        </w:rPr>
        <w:t>tribunal judiciaire</w:t>
      </w:r>
      <w:r w:rsidRPr="00E128D3">
        <w:t xml:space="preserve"> peut autoriser la transformation si le refus du bailleur n’est pas justifié par un motif grave et légitime. (</w:t>
      </w:r>
      <w:hyperlink r:id="rId36" w:tooltip="Section 8 : De la déspécialisation. (Articles L145-47 à L145-55) - Légifrance" w:history="1">
        <w:r w:rsidRPr="00E128D3">
          <w:rPr>
            <w:rStyle w:val="Lienhypertexte"/>
          </w:rPr>
          <w:t>Légifrance</w:t>
        </w:r>
      </w:hyperlink>
      <w:r w:rsidRPr="00E128D3">
        <w:t>)</w:t>
      </w:r>
    </w:p>
    <w:p w14:paraId="1672DB8D" w14:textId="77777777" w:rsidR="00E128D3" w:rsidRPr="00E128D3" w:rsidRDefault="00E128D3" w:rsidP="00E128D3">
      <w:pPr>
        <w:pStyle w:val="Titre1"/>
      </w:pPr>
      <w:r w:rsidRPr="00E128D3">
        <w:t>25. La déspécialisation peut avoir un effet financier</w:t>
      </w:r>
    </w:p>
    <w:p w14:paraId="4F5D6D5D" w14:textId="77777777" w:rsidR="00E128D3" w:rsidRPr="00E128D3" w:rsidRDefault="00E128D3" w:rsidP="00E128D3">
      <w:pPr>
        <w:spacing w:after="0" w:line="240" w:lineRule="auto"/>
      </w:pPr>
      <w:r w:rsidRPr="00E128D3">
        <w:t xml:space="preserve">Une modification d’activité peut </w:t>
      </w:r>
      <w:proofErr w:type="gramStart"/>
      <w:r w:rsidRPr="00E128D3">
        <w:t>avoir</w:t>
      </w:r>
      <w:proofErr w:type="gramEnd"/>
      <w:r w:rsidRPr="00E128D3">
        <w:t xml:space="preserve"> des conséquences sur le loyer.</w:t>
      </w:r>
    </w:p>
    <w:p w14:paraId="4E396B04" w14:textId="77777777" w:rsidR="00E128D3" w:rsidRPr="00E128D3" w:rsidRDefault="00E128D3" w:rsidP="00E128D3">
      <w:pPr>
        <w:spacing w:after="0" w:line="240" w:lineRule="auto"/>
      </w:pPr>
      <w:r w:rsidRPr="00E128D3">
        <w:t>En matière de déspécialisation partielle, les activités ajoutées peuvent notamment être prises en considération lors de la première révision triennale suivante si elles entraînent une modification de la valeur locative. (</w:t>
      </w:r>
      <w:hyperlink r:id="rId37" w:tooltip="Article L145-47 - Code de commerce" w:history="1">
        <w:r w:rsidRPr="00E128D3">
          <w:rPr>
            <w:rStyle w:val="Lienhypertexte"/>
          </w:rPr>
          <w:t>Légifrance</w:t>
        </w:r>
      </w:hyperlink>
      <w:r w:rsidRPr="00E128D3">
        <w:t>)</w:t>
      </w:r>
    </w:p>
    <w:p w14:paraId="0BCB5751" w14:textId="77777777" w:rsidR="00E128D3" w:rsidRPr="00E128D3" w:rsidRDefault="00E128D3" w:rsidP="00E128D3">
      <w:pPr>
        <w:spacing w:after="0" w:line="240" w:lineRule="auto"/>
      </w:pPr>
      <w:r w:rsidRPr="00E128D3">
        <w:t>En matière de transformation plus large, le bailleur peut dans certaines conditions obtenir une modification du prix du bail ou une indemnité correspondant au préjudice démontré. (</w:t>
      </w:r>
      <w:hyperlink r:id="rId38" w:tooltip="Article L145-50 - Code de commerce" w:history="1">
        <w:r w:rsidRPr="00E128D3">
          <w:rPr>
            <w:rStyle w:val="Lienhypertexte"/>
          </w:rPr>
          <w:t>Légifrance</w:t>
        </w:r>
      </w:hyperlink>
      <w:r w:rsidRPr="00E128D3">
        <w:t>)</w:t>
      </w:r>
    </w:p>
    <w:p w14:paraId="12E17042" w14:textId="77777777" w:rsidR="00E128D3" w:rsidRPr="00E128D3" w:rsidRDefault="00E128D3" w:rsidP="00E128D3">
      <w:pPr>
        <w:spacing w:after="0" w:line="240" w:lineRule="auto"/>
        <w:rPr>
          <w:b/>
          <w:bCs/>
        </w:rPr>
      </w:pPr>
      <w:r w:rsidRPr="00E128D3">
        <w:rPr>
          <w:b/>
          <w:bCs/>
        </w:rPr>
        <w:t>Point essentiel</w:t>
      </w:r>
    </w:p>
    <w:p w14:paraId="6D9C3F6F" w14:textId="77777777" w:rsidR="00E128D3" w:rsidRPr="00E128D3" w:rsidRDefault="00E128D3" w:rsidP="00E128D3">
      <w:pPr>
        <w:spacing w:after="0" w:line="240" w:lineRule="auto"/>
      </w:pPr>
      <w:r w:rsidRPr="00E128D3">
        <w:rPr>
          <w:b/>
          <w:bCs/>
        </w:rPr>
        <w:t>Changer régulièrement d’activité suppose donc de traiter à la fois la question de l’autorisation et celle des conséquences financières.</w:t>
      </w:r>
    </w:p>
    <w:p w14:paraId="1E3A6CA7" w14:textId="02C7CEBD" w:rsidR="00E128D3" w:rsidRPr="00E128D3" w:rsidRDefault="00E128D3" w:rsidP="00E128D3">
      <w:pPr>
        <w:pStyle w:val="Titre1"/>
      </w:pPr>
      <w:r w:rsidRPr="00E128D3">
        <w:t xml:space="preserve">26. Le droit au renouvellement constitue la </w:t>
      </w:r>
      <w:r>
        <w:t>« </w:t>
      </w:r>
      <w:r w:rsidRPr="00E128D3">
        <w:t>propriété commerciale</w:t>
      </w:r>
      <w:r>
        <w:t> »</w:t>
      </w:r>
    </w:p>
    <w:p w14:paraId="426708BA" w14:textId="77777777" w:rsidR="00E128D3" w:rsidRPr="00E128D3" w:rsidRDefault="00E128D3" w:rsidP="00E128D3">
      <w:pPr>
        <w:spacing w:after="0" w:line="240" w:lineRule="auto"/>
      </w:pPr>
      <w:r w:rsidRPr="00E128D3">
        <w:t>Le droit au renouvellement est l’un des principaux avantages du statut des baux commerciaux.</w:t>
      </w:r>
    </w:p>
    <w:p w14:paraId="05C69B0B" w14:textId="77777777" w:rsidR="00E128D3" w:rsidRPr="00E128D3" w:rsidRDefault="00E128D3" w:rsidP="00E128D3">
      <w:pPr>
        <w:spacing w:after="0" w:line="240" w:lineRule="auto"/>
      </w:pPr>
      <w:r w:rsidRPr="00E128D3">
        <w:t xml:space="preserve">Le droit ne peut être invoqué que par le </w:t>
      </w:r>
      <w:r w:rsidRPr="00E128D3">
        <w:rPr>
          <w:b/>
          <w:bCs/>
        </w:rPr>
        <w:t>propriétaire du fonds exploité dans les lieux</w:t>
      </w:r>
      <w:r w:rsidRPr="00E128D3">
        <w:t>.</w:t>
      </w:r>
    </w:p>
    <w:p w14:paraId="2F36B5CF" w14:textId="77777777" w:rsidR="00E128D3" w:rsidRPr="00E128D3" w:rsidRDefault="00E128D3" w:rsidP="00E128D3">
      <w:pPr>
        <w:spacing w:after="0" w:line="240" w:lineRule="auto"/>
      </w:pPr>
      <w:r w:rsidRPr="00E128D3">
        <w:t xml:space="preserve">Sauf motif légitime, le fonds doit avoir été effectivement exploité pendant les </w:t>
      </w:r>
      <w:r w:rsidRPr="00E128D3">
        <w:rPr>
          <w:b/>
          <w:bCs/>
        </w:rPr>
        <w:t>trois années précédant l’expiration du bail</w:t>
      </w:r>
      <w:r w:rsidRPr="00E128D3">
        <w:t xml:space="preserve"> ou la date pertinente définie par l’article L. 145-8. (</w:t>
      </w:r>
      <w:hyperlink r:id="rId39" w:tooltip="Section 3 : Du renouvellement. (Articles L145-8 à L145-12) - Légifrance" w:history="1">
        <w:r w:rsidRPr="00E128D3">
          <w:rPr>
            <w:rStyle w:val="Lienhypertexte"/>
          </w:rPr>
          <w:t>Légifrance</w:t>
        </w:r>
      </w:hyperlink>
      <w:r w:rsidRPr="00E128D3">
        <w:t>)</w:t>
      </w:r>
    </w:p>
    <w:p w14:paraId="60E9A49B" w14:textId="77777777" w:rsidR="00E128D3" w:rsidRPr="00E128D3" w:rsidRDefault="00E128D3" w:rsidP="00E128D3">
      <w:pPr>
        <w:spacing w:after="0" w:line="240" w:lineRule="auto"/>
      </w:pPr>
      <w:r w:rsidRPr="00E128D3">
        <w:t xml:space="preserve">Cette protection est parfois qualifiée de </w:t>
      </w:r>
      <w:r w:rsidRPr="00E128D3">
        <w:rPr>
          <w:b/>
          <w:bCs/>
        </w:rPr>
        <w:t>propriété commerciale</w:t>
      </w:r>
      <w:r w:rsidRPr="00E128D3">
        <w:t>.</w:t>
      </w:r>
    </w:p>
    <w:p w14:paraId="7E5CC96A" w14:textId="77777777" w:rsidR="00E128D3" w:rsidRPr="00E128D3" w:rsidRDefault="00E128D3" w:rsidP="00E128D3">
      <w:pPr>
        <w:spacing w:after="0" w:line="240" w:lineRule="auto"/>
        <w:rPr>
          <w:b/>
          <w:bCs/>
        </w:rPr>
      </w:pPr>
      <w:r w:rsidRPr="00E128D3">
        <w:rPr>
          <w:b/>
          <w:bCs/>
        </w:rPr>
        <w:t>Attention</w:t>
      </w:r>
    </w:p>
    <w:p w14:paraId="48A7D20E" w14:textId="77777777" w:rsidR="00E128D3" w:rsidRPr="00E128D3" w:rsidRDefault="00E128D3" w:rsidP="00E128D3">
      <w:pPr>
        <w:spacing w:after="0" w:line="240" w:lineRule="auto"/>
      </w:pPr>
      <w:r w:rsidRPr="00E128D3">
        <w:t>Le locataire ne devient évidemment pas propriétaire de l’immeuble.</w:t>
      </w:r>
    </w:p>
    <w:p w14:paraId="69324850" w14:textId="75638A69" w:rsidR="00E128D3" w:rsidRPr="00E128D3" w:rsidRDefault="00E128D3" w:rsidP="00E128D3">
      <w:pPr>
        <w:spacing w:after="0" w:line="240" w:lineRule="auto"/>
      </w:pPr>
      <w:r w:rsidRPr="00E128D3">
        <w:t xml:space="preserve">La </w:t>
      </w:r>
      <w:r>
        <w:t>« </w:t>
      </w:r>
      <w:r w:rsidRPr="00E128D3">
        <w:t>propriété commerciale</w:t>
      </w:r>
      <w:r>
        <w:t> »</w:t>
      </w:r>
      <w:r w:rsidRPr="00E128D3">
        <w:t xml:space="preserve"> désigne la protection économique résultant du droit au renouvellement ou, à défaut, de l’indemnisation de l’éviction.</w:t>
      </w:r>
    </w:p>
    <w:p w14:paraId="490D0E1D" w14:textId="77777777" w:rsidR="00E128D3" w:rsidRPr="00E128D3" w:rsidRDefault="00E128D3" w:rsidP="00E128D3">
      <w:pPr>
        <w:pStyle w:val="Titre1"/>
      </w:pPr>
      <w:r w:rsidRPr="00E128D3">
        <w:t>27. L’expiration des neuf ans n’entraîne pas automatiquement le départ du locataire</w:t>
      </w:r>
    </w:p>
    <w:p w14:paraId="14E33B57" w14:textId="77777777" w:rsidR="00E128D3" w:rsidRPr="00E128D3" w:rsidRDefault="00E128D3" w:rsidP="00E128D3">
      <w:pPr>
        <w:spacing w:after="0" w:line="240" w:lineRule="auto"/>
      </w:pPr>
      <w:r w:rsidRPr="00E128D3">
        <w:t>Le terme contractuel doit être distingué de la fin effective de la relation.</w:t>
      </w:r>
    </w:p>
    <w:p w14:paraId="6C68330C" w14:textId="77777777" w:rsidR="00E128D3" w:rsidRPr="00E128D3" w:rsidRDefault="00E128D3" w:rsidP="00E128D3">
      <w:pPr>
        <w:spacing w:after="0" w:line="240" w:lineRule="auto"/>
      </w:pPr>
      <w:r w:rsidRPr="00E128D3">
        <w:t xml:space="preserve">À défaut de congé ou de demande de renouvellement, le bail écrit se </w:t>
      </w:r>
      <w:r w:rsidRPr="00E128D3">
        <w:rPr>
          <w:b/>
          <w:bCs/>
        </w:rPr>
        <w:t>prolonge tacitement au-delà de son terme</w:t>
      </w:r>
      <w:r w:rsidRPr="00E128D3">
        <w:t>. (</w:t>
      </w:r>
      <w:hyperlink r:id="rId40" w:tooltip="Section 3 : Du renouvellement. (Articles L145-8 à L145-12) - Légifrance" w:history="1">
        <w:r w:rsidRPr="00E128D3">
          <w:rPr>
            <w:rStyle w:val="Lienhypertexte"/>
          </w:rPr>
          <w:t>Légifrance</w:t>
        </w:r>
      </w:hyperlink>
      <w:r w:rsidRPr="00E128D3">
        <w:t>)</w:t>
      </w:r>
    </w:p>
    <w:p w14:paraId="747B4745" w14:textId="77777777" w:rsidR="00E128D3" w:rsidRPr="00E128D3" w:rsidRDefault="00E128D3" w:rsidP="00E128D3">
      <w:pPr>
        <w:spacing w:after="0" w:line="240" w:lineRule="auto"/>
        <w:rPr>
          <w:b/>
          <w:bCs/>
        </w:rPr>
      </w:pPr>
      <w:r w:rsidRPr="00E128D3">
        <w:rPr>
          <w:b/>
          <w:bCs/>
        </w:rPr>
        <w:t>Point essentiel</w:t>
      </w:r>
    </w:p>
    <w:p w14:paraId="386A2245" w14:textId="0001D72E" w:rsidR="00E128D3" w:rsidRPr="00E128D3" w:rsidRDefault="00E128D3" w:rsidP="00E128D3">
      <w:pPr>
        <w:spacing w:after="0" w:line="240" w:lineRule="auto"/>
      </w:pPr>
      <w:r w:rsidRPr="00E128D3">
        <w:t>Il faut donc distinguer</w:t>
      </w:r>
      <w:r>
        <w:t> :</w:t>
      </w:r>
    </w:p>
    <w:p w14:paraId="5AB182D0" w14:textId="6592DEC0" w:rsidR="00E128D3" w:rsidRPr="00E128D3" w:rsidRDefault="00E128D3">
      <w:pPr>
        <w:numPr>
          <w:ilvl w:val="0"/>
          <w:numId w:val="24"/>
        </w:numPr>
        <w:spacing w:after="0" w:line="240" w:lineRule="auto"/>
      </w:pPr>
      <w:r w:rsidRPr="00E128D3">
        <w:t>expiration de la durée initiale</w:t>
      </w:r>
      <w:r>
        <w:t> ;</w:t>
      </w:r>
    </w:p>
    <w:p w14:paraId="66F445EB" w14:textId="79D88395" w:rsidR="00E128D3" w:rsidRPr="00E128D3" w:rsidRDefault="00E128D3">
      <w:pPr>
        <w:numPr>
          <w:ilvl w:val="0"/>
          <w:numId w:val="24"/>
        </w:numPr>
        <w:spacing w:after="0" w:line="240" w:lineRule="auto"/>
      </w:pPr>
      <w:r w:rsidRPr="00E128D3">
        <w:t>prolongation tacite</w:t>
      </w:r>
      <w:r>
        <w:t> ;</w:t>
      </w:r>
    </w:p>
    <w:p w14:paraId="442B38D7" w14:textId="77777777" w:rsidR="00E128D3" w:rsidRPr="00E128D3" w:rsidRDefault="00E128D3">
      <w:pPr>
        <w:numPr>
          <w:ilvl w:val="0"/>
          <w:numId w:val="24"/>
        </w:numPr>
        <w:spacing w:after="0" w:line="240" w:lineRule="auto"/>
      </w:pPr>
      <w:r w:rsidRPr="00E128D3">
        <w:t>renouvellement d’un nouveau bail.</w:t>
      </w:r>
    </w:p>
    <w:p w14:paraId="49305C3B" w14:textId="1D992503" w:rsidR="00E128D3" w:rsidRPr="00E128D3" w:rsidRDefault="00E128D3" w:rsidP="00E128D3">
      <w:pPr>
        <w:spacing w:after="0" w:line="240" w:lineRule="auto"/>
      </w:pPr>
      <w:r w:rsidRPr="00E128D3">
        <w:t xml:space="preserve">Cette distinction </w:t>
      </w:r>
      <w:proofErr w:type="gramStart"/>
      <w:r w:rsidRPr="00E128D3">
        <w:t>a</w:t>
      </w:r>
      <w:proofErr w:type="gramEnd"/>
      <w:r w:rsidRPr="00E128D3">
        <w:t xml:space="preserve"> des conséquences notamment sur</w:t>
      </w:r>
      <w:r>
        <w:t> :</w:t>
      </w:r>
    </w:p>
    <w:p w14:paraId="5F4F3240" w14:textId="72FAF1A1" w:rsidR="00E128D3" w:rsidRPr="00E128D3" w:rsidRDefault="00E128D3">
      <w:pPr>
        <w:numPr>
          <w:ilvl w:val="0"/>
          <w:numId w:val="25"/>
        </w:numPr>
        <w:spacing w:after="0" w:line="240" w:lineRule="auto"/>
      </w:pPr>
      <w:r w:rsidRPr="00E128D3">
        <w:t>le congé</w:t>
      </w:r>
      <w:r>
        <w:t> ;</w:t>
      </w:r>
    </w:p>
    <w:p w14:paraId="7C47B3E3" w14:textId="541BEAC4" w:rsidR="00E128D3" w:rsidRPr="00E128D3" w:rsidRDefault="00E128D3">
      <w:pPr>
        <w:numPr>
          <w:ilvl w:val="0"/>
          <w:numId w:val="25"/>
        </w:numPr>
        <w:spacing w:after="0" w:line="240" w:lineRule="auto"/>
      </w:pPr>
      <w:r w:rsidRPr="00E128D3">
        <w:t>la fixation du loyer</w:t>
      </w:r>
      <w:r>
        <w:t> ;</w:t>
      </w:r>
    </w:p>
    <w:p w14:paraId="65CD0838" w14:textId="77777777" w:rsidR="00E128D3" w:rsidRPr="00E128D3" w:rsidRDefault="00E128D3">
      <w:pPr>
        <w:numPr>
          <w:ilvl w:val="0"/>
          <w:numId w:val="25"/>
        </w:numPr>
        <w:spacing w:after="0" w:line="240" w:lineRule="auto"/>
      </w:pPr>
      <w:r w:rsidRPr="00E128D3">
        <w:t>la durée effective de la relation. (</w:t>
      </w:r>
      <w:hyperlink r:id="rId41" w:tooltip="Section 3 : Du renouvellement. (Articles L145-8 à L145-12) - Légifrance" w:history="1">
        <w:r w:rsidRPr="00E128D3">
          <w:rPr>
            <w:rStyle w:val="Lienhypertexte"/>
          </w:rPr>
          <w:t>Légifrance</w:t>
        </w:r>
      </w:hyperlink>
      <w:r w:rsidRPr="00E128D3">
        <w:t>)</w:t>
      </w:r>
    </w:p>
    <w:p w14:paraId="05C136D2" w14:textId="77777777" w:rsidR="00E128D3" w:rsidRPr="00E128D3" w:rsidRDefault="00E128D3" w:rsidP="00E128D3">
      <w:pPr>
        <w:pStyle w:val="Titre1"/>
      </w:pPr>
      <w:r w:rsidRPr="00E128D3">
        <w:t>28. La demande de renouvellement</w:t>
      </w:r>
    </w:p>
    <w:p w14:paraId="6060CE09" w14:textId="4F18D970" w:rsidR="00E128D3" w:rsidRPr="00E128D3" w:rsidRDefault="00E128D3" w:rsidP="00E128D3">
      <w:pPr>
        <w:spacing w:after="0" w:line="240" w:lineRule="auto"/>
      </w:pPr>
      <w:r w:rsidRPr="00E128D3">
        <w:t>En l’absence de congé du bailleur, le locataire qui souhaite obtenir le renouvellement peut en faire la demande</w:t>
      </w:r>
      <w:r>
        <w:t> :</w:t>
      </w:r>
    </w:p>
    <w:p w14:paraId="7CCD0E80" w14:textId="7A9EBA1F" w:rsidR="00E128D3" w:rsidRPr="00E128D3" w:rsidRDefault="00E128D3">
      <w:pPr>
        <w:numPr>
          <w:ilvl w:val="0"/>
          <w:numId w:val="26"/>
        </w:numPr>
        <w:spacing w:after="0" w:line="240" w:lineRule="auto"/>
      </w:pPr>
      <w:r w:rsidRPr="00E128D3">
        <w:t>dans les six mois précédant l’expiration</w:t>
      </w:r>
      <w:r>
        <w:t> ;</w:t>
      </w:r>
    </w:p>
    <w:p w14:paraId="61B23F88" w14:textId="77777777" w:rsidR="00E128D3" w:rsidRPr="00E128D3" w:rsidRDefault="00E128D3">
      <w:pPr>
        <w:numPr>
          <w:ilvl w:val="0"/>
          <w:numId w:val="26"/>
        </w:numPr>
        <w:spacing w:after="0" w:line="240" w:lineRule="auto"/>
      </w:pPr>
      <w:r w:rsidRPr="00E128D3">
        <w:t>ou à tout moment pendant la prolongation du bail.</w:t>
      </w:r>
    </w:p>
    <w:p w14:paraId="0E3C2824" w14:textId="77777777" w:rsidR="00E128D3" w:rsidRPr="00E128D3" w:rsidRDefault="00E128D3" w:rsidP="00E128D3">
      <w:pPr>
        <w:spacing w:after="0" w:line="240" w:lineRule="auto"/>
      </w:pPr>
      <w:r w:rsidRPr="00E128D3">
        <w:t>La demande est adressée au bailleur par les formes prévues par l’article L. 145-10. (</w:t>
      </w:r>
      <w:hyperlink r:id="rId42" w:tooltip="Section 3 : Du renouvellement. (Articles L145-8 à L145-12) - Légifrance" w:history="1">
        <w:r w:rsidRPr="00E128D3">
          <w:rPr>
            <w:rStyle w:val="Lienhypertexte"/>
          </w:rPr>
          <w:t>Légifrance</w:t>
        </w:r>
      </w:hyperlink>
      <w:r w:rsidRPr="00E128D3">
        <w:t>)</w:t>
      </w:r>
    </w:p>
    <w:p w14:paraId="34DC977D" w14:textId="487C5EA2" w:rsidR="00E128D3" w:rsidRPr="00E128D3" w:rsidRDefault="00E128D3" w:rsidP="00E128D3">
      <w:pPr>
        <w:spacing w:after="0" w:line="240" w:lineRule="auto"/>
      </w:pPr>
      <w:r w:rsidRPr="00E128D3">
        <w:t xml:space="preserve">Le bailleur dispose ensuite de </w:t>
      </w:r>
      <w:r w:rsidRPr="00E128D3">
        <w:rPr>
          <w:b/>
          <w:bCs/>
        </w:rPr>
        <w:t>trois mois</w:t>
      </w:r>
      <w:r w:rsidRPr="00E128D3">
        <w:t xml:space="preserve"> pour faire connaître son refus et ses motifs</w:t>
      </w:r>
      <w:r>
        <w:t> ;</w:t>
      </w:r>
      <w:r w:rsidRPr="00E128D3">
        <w:t xml:space="preserve"> à défaut, il est réputé avoir accepté le </w:t>
      </w:r>
      <w:r w:rsidRPr="00E128D3">
        <w:rPr>
          <w:b/>
          <w:bCs/>
        </w:rPr>
        <w:t>principe du renouvellement</w:t>
      </w:r>
      <w:r w:rsidRPr="00E128D3">
        <w:t>. (</w:t>
      </w:r>
      <w:hyperlink r:id="rId43" w:tooltip="Section 3 : Du renouvellement. (Articles L145-8 à L145-12) - Légifrance" w:history="1">
        <w:r w:rsidRPr="00E128D3">
          <w:rPr>
            <w:rStyle w:val="Lienhypertexte"/>
          </w:rPr>
          <w:t>Légifrance</w:t>
        </w:r>
      </w:hyperlink>
      <w:r w:rsidRPr="00E128D3">
        <w:t>)</w:t>
      </w:r>
    </w:p>
    <w:p w14:paraId="0DAC68E9" w14:textId="77777777" w:rsidR="00E128D3" w:rsidRPr="00E128D3" w:rsidRDefault="00E128D3" w:rsidP="00E128D3">
      <w:pPr>
        <w:pStyle w:val="Titre1"/>
      </w:pPr>
      <w:r w:rsidRPr="00E128D3">
        <w:t>29. Le bail renouvelé dure en principe neuf ans</w:t>
      </w:r>
    </w:p>
    <w:p w14:paraId="2A416599" w14:textId="77777777" w:rsidR="00E128D3" w:rsidRPr="00E128D3" w:rsidRDefault="00E128D3" w:rsidP="00E128D3">
      <w:pPr>
        <w:spacing w:after="0" w:line="240" w:lineRule="auto"/>
      </w:pPr>
      <w:r w:rsidRPr="00E128D3">
        <w:t xml:space="preserve">Le bail renouvelé a une durée de </w:t>
      </w:r>
      <w:r w:rsidRPr="00E128D3">
        <w:rPr>
          <w:b/>
          <w:bCs/>
        </w:rPr>
        <w:t>neuf ans</w:t>
      </w:r>
      <w:r w:rsidRPr="00E128D3">
        <w:t>, sauf accord des parties pour une durée plus longue. (</w:t>
      </w:r>
      <w:hyperlink r:id="rId44" w:tooltip="Section 3 : Du renouvellement. (Articles L145-8 à L145-12) - Légifrance" w:history="1">
        <w:r w:rsidRPr="00E128D3">
          <w:rPr>
            <w:rStyle w:val="Lienhypertexte"/>
          </w:rPr>
          <w:t>Légifrance</w:t>
        </w:r>
      </w:hyperlink>
      <w:r w:rsidRPr="00E128D3">
        <w:t>)</w:t>
      </w:r>
    </w:p>
    <w:p w14:paraId="29E365D7" w14:textId="77777777" w:rsidR="00E128D3" w:rsidRPr="00E128D3" w:rsidRDefault="00E128D3" w:rsidP="00E128D3">
      <w:pPr>
        <w:spacing w:after="0" w:line="240" w:lineRule="auto"/>
      </w:pPr>
      <w:r w:rsidRPr="00E128D3">
        <w:t>Il s’agit juridiquement d’un bail renouvelé, avec notamment la possibilité de déterminer un nouveau loyer selon les règles propres au statut.</w:t>
      </w:r>
    </w:p>
    <w:p w14:paraId="13C6B8FB" w14:textId="77777777" w:rsidR="00E128D3" w:rsidRPr="00E128D3" w:rsidRDefault="00E128D3" w:rsidP="00E128D3">
      <w:pPr>
        <w:pStyle w:val="Titre1"/>
      </w:pPr>
      <w:r w:rsidRPr="00E128D3">
        <w:t>30. Le bailleur peut refuser le renouvellement</w:t>
      </w:r>
    </w:p>
    <w:p w14:paraId="49B340C9" w14:textId="77777777" w:rsidR="00E128D3" w:rsidRPr="00E128D3" w:rsidRDefault="00E128D3" w:rsidP="00E128D3">
      <w:pPr>
        <w:spacing w:after="0" w:line="240" w:lineRule="auto"/>
      </w:pPr>
      <w:r w:rsidRPr="00E128D3">
        <w:t>Le droit au renouvellement ne signifie pas que le bailleur est matériellement obligé de conclure un nouveau bail.</w:t>
      </w:r>
    </w:p>
    <w:p w14:paraId="7CC9436C" w14:textId="77777777" w:rsidR="00E128D3" w:rsidRPr="00E128D3" w:rsidRDefault="00E128D3" w:rsidP="00E128D3">
      <w:pPr>
        <w:spacing w:after="0" w:line="240" w:lineRule="auto"/>
      </w:pPr>
      <w:r w:rsidRPr="00E128D3">
        <w:t>Il peut refuser le renouvellement.</w:t>
      </w:r>
    </w:p>
    <w:p w14:paraId="502C6F5C" w14:textId="77777777" w:rsidR="00E128D3" w:rsidRPr="00E128D3" w:rsidRDefault="00E128D3" w:rsidP="00E128D3">
      <w:pPr>
        <w:spacing w:after="0" w:line="240" w:lineRule="auto"/>
      </w:pPr>
      <w:r w:rsidRPr="00E128D3">
        <w:t xml:space="preserve">Mais il doit en principe verser au locataire une </w:t>
      </w:r>
      <w:r w:rsidRPr="00E128D3">
        <w:rPr>
          <w:b/>
          <w:bCs/>
        </w:rPr>
        <w:t>indemnité d’éviction</w:t>
      </w:r>
      <w:r w:rsidRPr="00E128D3">
        <w:t xml:space="preserve"> égale au préjudice causé par le défaut de renouvellement. (</w:t>
      </w:r>
      <w:hyperlink r:id="rId45" w:tooltip="Article L145-14 - Code de commerce - Légifrance" w:history="1">
        <w:r w:rsidRPr="00E128D3">
          <w:rPr>
            <w:rStyle w:val="Lienhypertexte"/>
          </w:rPr>
          <w:t>Légifrance</w:t>
        </w:r>
      </w:hyperlink>
      <w:r w:rsidRPr="00E128D3">
        <w:t>)</w:t>
      </w:r>
    </w:p>
    <w:p w14:paraId="53B8F044" w14:textId="33D0B16A" w:rsidR="00E128D3" w:rsidRPr="00E128D3" w:rsidRDefault="00E128D3" w:rsidP="00E128D3">
      <w:pPr>
        <w:spacing w:after="0" w:line="240" w:lineRule="auto"/>
      </w:pPr>
      <w:r w:rsidRPr="00E128D3">
        <w:t>L’indemnité comprend notamment, selon la situation</w:t>
      </w:r>
      <w:r>
        <w:t> :</w:t>
      </w:r>
    </w:p>
    <w:p w14:paraId="78E6445B" w14:textId="57F6DFE5" w:rsidR="00E128D3" w:rsidRPr="00E128D3" w:rsidRDefault="00E128D3">
      <w:pPr>
        <w:numPr>
          <w:ilvl w:val="0"/>
          <w:numId w:val="27"/>
        </w:numPr>
        <w:spacing w:after="0" w:line="240" w:lineRule="auto"/>
      </w:pPr>
      <w:r w:rsidRPr="00E128D3">
        <w:t>valeur marchande du fonds</w:t>
      </w:r>
      <w:r>
        <w:t> ;</w:t>
      </w:r>
    </w:p>
    <w:p w14:paraId="34D9473A" w14:textId="2FB19E97" w:rsidR="00E128D3" w:rsidRPr="00E128D3" w:rsidRDefault="00E128D3">
      <w:pPr>
        <w:numPr>
          <w:ilvl w:val="0"/>
          <w:numId w:val="27"/>
        </w:numPr>
        <w:spacing w:after="0" w:line="240" w:lineRule="auto"/>
      </w:pPr>
      <w:r w:rsidRPr="00E128D3">
        <w:t>frais normaux de déménagement</w:t>
      </w:r>
      <w:r>
        <w:t> ;</w:t>
      </w:r>
    </w:p>
    <w:p w14:paraId="0E8E52C4" w14:textId="2D56AB79" w:rsidR="00E128D3" w:rsidRPr="00E128D3" w:rsidRDefault="00E128D3">
      <w:pPr>
        <w:numPr>
          <w:ilvl w:val="0"/>
          <w:numId w:val="27"/>
        </w:numPr>
        <w:spacing w:after="0" w:line="240" w:lineRule="auto"/>
      </w:pPr>
      <w:r w:rsidRPr="00E128D3">
        <w:t>frais de réinstallation</w:t>
      </w:r>
      <w:r>
        <w:t> ;</w:t>
      </w:r>
    </w:p>
    <w:p w14:paraId="0509E2C1" w14:textId="77777777" w:rsidR="00E128D3" w:rsidRPr="00E128D3" w:rsidRDefault="00E128D3">
      <w:pPr>
        <w:numPr>
          <w:ilvl w:val="0"/>
          <w:numId w:val="27"/>
        </w:numPr>
        <w:spacing w:after="0" w:line="240" w:lineRule="auto"/>
      </w:pPr>
      <w:r w:rsidRPr="00E128D3">
        <w:t>frais et droits de mutation nécessaires à l’acquisition d’un fonds comparable. (</w:t>
      </w:r>
      <w:hyperlink r:id="rId46" w:tooltip="Article L145-14 - Code de commerce - Légifrance" w:history="1">
        <w:r w:rsidRPr="00E128D3">
          <w:rPr>
            <w:rStyle w:val="Lienhypertexte"/>
          </w:rPr>
          <w:t>Légifrance</w:t>
        </w:r>
      </w:hyperlink>
      <w:r w:rsidRPr="00E128D3">
        <w:t>)</w:t>
      </w:r>
    </w:p>
    <w:p w14:paraId="674CA668" w14:textId="77777777" w:rsidR="00E128D3" w:rsidRPr="00E128D3" w:rsidRDefault="00E128D3" w:rsidP="00E128D3">
      <w:pPr>
        <w:pStyle w:val="Titre1"/>
      </w:pPr>
      <w:r w:rsidRPr="00E128D3">
        <w:t>31. L’indemnité d’éviction protège la valeur du fonds</w:t>
      </w:r>
    </w:p>
    <w:p w14:paraId="0298C8A4" w14:textId="77777777" w:rsidR="00E128D3" w:rsidRPr="00E128D3" w:rsidRDefault="00E128D3" w:rsidP="00E128D3">
      <w:pPr>
        <w:spacing w:after="0" w:line="240" w:lineRule="auto"/>
        <w:rPr>
          <w:b/>
          <w:bCs/>
        </w:rPr>
      </w:pPr>
      <w:r w:rsidRPr="00E128D3">
        <w:rPr>
          <w:b/>
          <w:bCs/>
        </w:rPr>
        <w:t>Exemple</w:t>
      </w:r>
    </w:p>
    <w:p w14:paraId="3A55DB6C" w14:textId="77777777" w:rsidR="00E128D3" w:rsidRPr="00E128D3" w:rsidRDefault="00E128D3" w:rsidP="00E128D3">
      <w:pPr>
        <w:spacing w:after="0" w:line="240" w:lineRule="auto"/>
      </w:pPr>
      <w:r w:rsidRPr="00E128D3">
        <w:t>Le refus de renouvellement impose au commerçant de quitter un emplacement auquel sa clientèle est fortement attachée et entraîne la disparition de son fonds.</w:t>
      </w:r>
    </w:p>
    <w:p w14:paraId="0ACF9FA6" w14:textId="77777777" w:rsidR="00E128D3" w:rsidRPr="00E128D3" w:rsidRDefault="00E128D3" w:rsidP="00E128D3">
      <w:pPr>
        <w:spacing w:after="0" w:line="240" w:lineRule="auto"/>
      </w:pPr>
      <w:r w:rsidRPr="00E128D3">
        <w:t>L’indemnisation peut alors intégrer la valeur marchande du fonds selon les règles de l’article L. 145-14. (</w:t>
      </w:r>
      <w:hyperlink r:id="rId47" w:tooltip="Article L145-14 - Code de commerce - Légifrance" w:history="1">
        <w:r w:rsidRPr="00E128D3">
          <w:rPr>
            <w:rStyle w:val="Lienhypertexte"/>
          </w:rPr>
          <w:t>Légifrance</w:t>
        </w:r>
      </w:hyperlink>
      <w:r w:rsidRPr="00E128D3">
        <w:t>)</w:t>
      </w:r>
    </w:p>
    <w:p w14:paraId="5A2C4C84" w14:textId="77777777" w:rsidR="00E128D3" w:rsidRPr="00E128D3" w:rsidRDefault="00E128D3" w:rsidP="00E128D3">
      <w:pPr>
        <w:spacing w:after="0" w:line="240" w:lineRule="auto"/>
        <w:rPr>
          <w:b/>
          <w:bCs/>
        </w:rPr>
      </w:pPr>
      <w:r w:rsidRPr="00E128D3">
        <w:rPr>
          <w:b/>
          <w:bCs/>
        </w:rPr>
        <w:t>Situation différente</w:t>
      </w:r>
    </w:p>
    <w:p w14:paraId="70803A0B" w14:textId="77777777" w:rsidR="00E128D3" w:rsidRPr="00E128D3" w:rsidRDefault="00E128D3" w:rsidP="00E128D3">
      <w:pPr>
        <w:spacing w:after="0" w:line="240" w:lineRule="auto"/>
      </w:pPr>
      <w:r w:rsidRPr="00E128D3">
        <w:t>Si l’activité peut être transférée sans perte substantielle de clientèle, l’indemnité peut être évaluée selon le préjudice réellement subi.</w:t>
      </w:r>
    </w:p>
    <w:p w14:paraId="023FACE3" w14:textId="093C8A08" w:rsidR="00E128D3" w:rsidRPr="00E128D3" w:rsidRDefault="00E128D3" w:rsidP="00E128D3">
      <w:pPr>
        <w:spacing w:after="0" w:line="240" w:lineRule="auto"/>
      </w:pPr>
      <w:r w:rsidRPr="00E128D3">
        <w:t>Le principe demeure</w:t>
      </w:r>
      <w:r>
        <w:t> :</w:t>
      </w:r>
    </w:p>
    <w:p w14:paraId="5FD841BA" w14:textId="77777777" w:rsidR="00E128D3" w:rsidRPr="00E128D3" w:rsidRDefault="00E128D3" w:rsidP="00E128D3">
      <w:pPr>
        <w:spacing w:after="0" w:line="240" w:lineRule="auto"/>
      </w:pPr>
      <w:r w:rsidRPr="00E128D3">
        <w:rPr>
          <w:b/>
          <w:bCs/>
        </w:rPr>
        <w:t>réparer le préjudice causé par le défaut de renouvellement</w:t>
      </w:r>
      <w:r w:rsidRPr="00E128D3">
        <w:t>, et non attribuer mécaniquement une somme forfaitaire. (</w:t>
      </w:r>
      <w:hyperlink r:id="rId48" w:tooltip="Article L145-14 - Code de commerce - Légifrance" w:history="1">
        <w:r w:rsidRPr="00E128D3">
          <w:rPr>
            <w:rStyle w:val="Lienhypertexte"/>
          </w:rPr>
          <w:t>Légifrance</w:t>
        </w:r>
      </w:hyperlink>
      <w:r w:rsidRPr="00E128D3">
        <w:t>)</w:t>
      </w:r>
    </w:p>
    <w:p w14:paraId="065E5E6F" w14:textId="77777777" w:rsidR="00E128D3" w:rsidRPr="00E128D3" w:rsidRDefault="00E128D3" w:rsidP="00E128D3">
      <w:pPr>
        <w:pStyle w:val="Titre1"/>
      </w:pPr>
      <w:r w:rsidRPr="00E128D3">
        <w:t>32. Le bailleur peut parfois refuser sans indemnité</w:t>
      </w:r>
    </w:p>
    <w:p w14:paraId="6D5974FB" w14:textId="77777777" w:rsidR="00E128D3" w:rsidRPr="00E128D3" w:rsidRDefault="00E128D3" w:rsidP="00E128D3">
      <w:pPr>
        <w:spacing w:after="0" w:line="240" w:lineRule="auto"/>
      </w:pPr>
      <w:r w:rsidRPr="00E128D3">
        <w:t>Le Code prévoit plusieurs hypothèses dans lesquelles le bailleur peut refuser le renouvellement sans payer l’indemnité ordinaire d’éviction.</w:t>
      </w:r>
    </w:p>
    <w:p w14:paraId="1BE9A4EA" w14:textId="6AB02700" w:rsidR="00E128D3" w:rsidRPr="00E128D3" w:rsidRDefault="00E128D3" w:rsidP="00E128D3">
      <w:pPr>
        <w:spacing w:after="0" w:line="240" w:lineRule="auto"/>
      </w:pPr>
      <w:r w:rsidRPr="00E128D3">
        <w:t>L’article L. 145-17 vise notamment</w:t>
      </w:r>
      <w:r>
        <w:t> :</w:t>
      </w:r>
    </w:p>
    <w:p w14:paraId="6D6875DA" w14:textId="35FA5850" w:rsidR="00E128D3" w:rsidRPr="00E128D3" w:rsidRDefault="00E128D3">
      <w:pPr>
        <w:numPr>
          <w:ilvl w:val="0"/>
          <w:numId w:val="28"/>
        </w:numPr>
        <w:spacing w:after="0" w:line="240" w:lineRule="auto"/>
      </w:pPr>
      <w:r w:rsidRPr="00E128D3">
        <w:t xml:space="preserve">un </w:t>
      </w:r>
      <w:r w:rsidRPr="00E128D3">
        <w:rPr>
          <w:b/>
          <w:bCs/>
        </w:rPr>
        <w:t>motif grave et légitime</w:t>
      </w:r>
      <w:r w:rsidRPr="00E128D3">
        <w:t xml:space="preserve"> à l’encontre du locataire</w:t>
      </w:r>
      <w:r>
        <w:t> ;</w:t>
      </w:r>
    </w:p>
    <w:p w14:paraId="5B7E2C06" w14:textId="77777777" w:rsidR="00E128D3" w:rsidRPr="00E128D3" w:rsidRDefault="00E128D3">
      <w:pPr>
        <w:numPr>
          <w:ilvl w:val="0"/>
          <w:numId w:val="28"/>
        </w:numPr>
        <w:spacing w:after="0" w:line="240" w:lineRule="auto"/>
      </w:pPr>
      <w:r w:rsidRPr="00E128D3">
        <w:t>certaines hypothèses liées à l’état de l’immeuble. (</w:t>
      </w:r>
      <w:hyperlink r:id="rId49" w:tooltip="Chapitre V : Du bail commercial. (Articles L145-1 à L145-60)" w:history="1">
        <w:r w:rsidRPr="00E128D3">
          <w:rPr>
            <w:rStyle w:val="Lienhypertexte"/>
          </w:rPr>
          <w:t>Légifrance</w:t>
        </w:r>
      </w:hyperlink>
      <w:r w:rsidRPr="00E128D3">
        <w:t>)</w:t>
      </w:r>
    </w:p>
    <w:p w14:paraId="126BB787" w14:textId="77777777" w:rsidR="00E128D3" w:rsidRPr="00E128D3" w:rsidRDefault="00E128D3" w:rsidP="00E128D3">
      <w:pPr>
        <w:spacing w:after="0" w:line="240" w:lineRule="auto"/>
        <w:rPr>
          <w:b/>
          <w:bCs/>
        </w:rPr>
      </w:pPr>
      <w:r w:rsidRPr="00E128D3">
        <w:rPr>
          <w:b/>
          <w:bCs/>
        </w:rPr>
        <w:t>Exemple</w:t>
      </w:r>
    </w:p>
    <w:p w14:paraId="496C653F" w14:textId="77777777" w:rsidR="00E128D3" w:rsidRPr="00E128D3" w:rsidRDefault="00E128D3" w:rsidP="00E128D3">
      <w:pPr>
        <w:spacing w:after="0" w:line="240" w:lineRule="auto"/>
      </w:pPr>
      <w:r w:rsidRPr="00E128D3">
        <w:t>Des manquements suffisamment graves et persistants du locataire peuvent, selon les circonstances et le respect des conditions légales, permettre un refus de renouvellement sans indemnité.</w:t>
      </w:r>
    </w:p>
    <w:p w14:paraId="5E750C5C" w14:textId="77777777" w:rsidR="00E128D3" w:rsidRPr="00E128D3" w:rsidRDefault="00E128D3" w:rsidP="00E128D3">
      <w:pPr>
        <w:spacing w:after="0" w:line="240" w:lineRule="auto"/>
        <w:rPr>
          <w:b/>
          <w:bCs/>
        </w:rPr>
      </w:pPr>
      <w:r w:rsidRPr="00E128D3">
        <w:rPr>
          <w:b/>
          <w:bCs/>
        </w:rPr>
        <w:t>Point essentiel</w:t>
      </w:r>
    </w:p>
    <w:p w14:paraId="4B680388" w14:textId="4429DB1E" w:rsidR="00E128D3" w:rsidRPr="00E128D3" w:rsidRDefault="00E128D3" w:rsidP="00E128D3">
      <w:pPr>
        <w:spacing w:after="0" w:line="240" w:lineRule="auto"/>
      </w:pPr>
      <w:r w:rsidRPr="00E128D3">
        <w:t>Il faut toujours distinguer</w:t>
      </w:r>
      <w:r>
        <w:t> :</w:t>
      </w:r>
    </w:p>
    <w:p w14:paraId="705C57A3" w14:textId="55375925" w:rsidR="00E128D3" w:rsidRPr="00E128D3" w:rsidRDefault="00E128D3">
      <w:pPr>
        <w:numPr>
          <w:ilvl w:val="0"/>
          <w:numId w:val="29"/>
        </w:numPr>
        <w:spacing w:after="0" w:line="240" w:lineRule="auto"/>
      </w:pPr>
      <w:r w:rsidRPr="00E128D3">
        <w:rPr>
          <w:b/>
          <w:bCs/>
        </w:rPr>
        <w:t>refus avec indemnité</w:t>
      </w:r>
      <w:r>
        <w:t> :</w:t>
      </w:r>
      <w:r w:rsidRPr="00E128D3">
        <w:t xml:space="preserve"> principe</w:t>
      </w:r>
      <w:r>
        <w:t> ;</w:t>
      </w:r>
    </w:p>
    <w:p w14:paraId="219B0340" w14:textId="56C05B68" w:rsidR="00E128D3" w:rsidRPr="00E128D3" w:rsidRDefault="00E128D3">
      <w:pPr>
        <w:numPr>
          <w:ilvl w:val="0"/>
          <w:numId w:val="29"/>
        </w:numPr>
        <w:spacing w:after="0" w:line="240" w:lineRule="auto"/>
      </w:pPr>
      <w:r w:rsidRPr="00E128D3">
        <w:rPr>
          <w:b/>
          <w:bCs/>
        </w:rPr>
        <w:t>refus sans indemnité</w:t>
      </w:r>
      <w:r>
        <w:t> :</w:t>
      </w:r>
      <w:r w:rsidRPr="00E128D3">
        <w:t xml:space="preserve"> exception devant reposer sur un fondement légal.</w:t>
      </w:r>
    </w:p>
    <w:p w14:paraId="52D86B9E" w14:textId="77777777" w:rsidR="00E128D3" w:rsidRPr="00E128D3" w:rsidRDefault="00E128D3" w:rsidP="00E128D3">
      <w:pPr>
        <w:pStyle w:val="Titre1"/>
      </w:pPr>
      <w:r w:rsidRPr="00E128D3">
        <w:t>33. Cession du fonds et cession du bail</w:t>
      </w:r>
    </w:p>
    <w:p w14:paraId="53A55D2C" w14:textId="77777777" w:rsidR="00E128D3" w:rsidRPr="00E128D3" w:rsidRDefault="00E128D3" w:rsidP="00E128D3">
      <w:pPr>
        <w:spacing w:after="0" w:line="240" w:lineRule="auto"/>
      </w:pPr>
      <w:r w:rsidRPr="00E128D3">
        <w:t>Le droit au bail constitue souvent un élément indispensable du fonds.</w:t>
      </w:r>
    </w:p>
    <w:p w14:paraId="09F4337C" w14:textId="33B339B8" w:rsidR="00E128D3" w:rsidRPr="00E128D3" w:rsidRDefault="00E128D3" w:rsidP="00E128D3">
      <w:pPr>
        <w:spacing w:after="0" w:line="240" w:lineRule="auto"/>
      </w:pPr>
      <w:r w:rsidRPr="00E128D3">
        <w:t>Le Code protège donc la transmission du fonds</w:t>
      </w:r>
      <w:r>
        <w:t> :</w:t>
      </w:r>
      <w:r w:rsidRPr="00E128D3">
        <w:t xml:space="preserve"> sont réputées non écrites les conventions tendant à interdire au locataire de céder son bail à </w:t>
      </w:r>
      <w:r w:rsidRPr="00E128D3">
        <w:rPr>
          <w:b/>
          <w:bCs/>
        </w:rPr>
        <w:t>l’acquéreur de son fonds de commerce ou de son entreprise</w:t>
      </w:r>
      <w:r w:rsidRPr="00E128D3">
        <w:t xml:space="preserve"> dans les conditions de l’article L. 145-16. (</w:t>
      </w:r>
      <w:hyperlink r:id="rId50" w:tooltip="Article L145-16 - Code de commerce - Légifrance" w:history="1">
        <w:r w:rsidRPr="00E128D3">
          <w:rPr>
            <w:rStyle w:val="Lienhypertexte"/>
          </w:rPr>
          <w:t>Légifrance</w:t>
        </w:r>
      </w:hyperlink>
      <w:r w:rsidRPr="00E128D3">
        <w:t>)</w:t>
      </w:r>
    </w:p>
    <w:p w14:paraId="7867CEFF" w14:textId="77777777" w:rsidR="00E128D3" w:rsidRPr="00E128D3" w:rsidRDefault="00E128D3" w:rsidP="00E128D3">
      <w:pPr>
        <w:spacing w:after="0" w:line="240" w:lineRule="auto"/>
        <w:rPr>
          <w:b/>
          <w:bCs/>
        </w:rPr>
      </w:pPr>
      <w:r w:rsidRPr="00E128D3">
        <w:rPr>
          <w:b/>
          <w:bCs/>
        </w:rPr>
        <w:t>Point essentiel</w:t>
      </w:r>
    </w:p>
    <w:p w14:paraId="417CFA42" w14:textId="77777777" w:rsidR="00E128D3" w:rsidRPr="00E128D3" w:rsidRDefault="00E128D3" w:rsidP="00E128D3">
      <w:pPr>
        <w:spacing w:after="0" w:line="240" w:lineRule="auto"/>
      </w:pPr>
      <w:r w:rsidRPr="00E128D3">
        <w:t xml:space="preserve">Le bail peut néanmoins prévoir des </w:t>
      </w:r>
      <w:r w:rsidRPr="00E128D3">
        <w:rPr>
          <w:b/>
          <w:bCs/>
        </w:rPr>
        <w:t>conditions de forme ou d’agrément</w:t>
      </w:r>
      <w:r w:rsidRPr="00E128D3">
        <w:t xml:space="preserve"> compatibles avec la loi.</w:t>
      </w:r>
    </w:p>
    <w:p w14:paraId="729985EC" w14:textId="647AD87C" w:rsidR="00E128D3" w:rsidRPr="00E128D3" w:rsidRDefault="00E128D3" w:rsidP="00E128D3">
      <w:pPr>
        <w:spacing w:after="0" w:line="240" w:lineRule="auto"/>
      </w:pPr>
      <w:r w:rsidRPr="00E128D3">
        <w:t>Il faut distinguer</w:t>
      </w:r>
      <w:r>
        <w:t> :</w:t>
      </w:r>
    </w:p>
    <w:p w14:paraId="06B3A7AC" w14:textId="5AA81C1F" w:rsidR="00E128D3" w:rsidRPr="00E128D3" w:rsidRDefault="00E128D3">
      <w:pPr>
        <w:numPr>
          <w:ilvl w:val="0"/>
          <w:numId w:val="30"/>
        </w:numPr>
        <w:spacing w:after="0" w:line="240" w:lineRule="auto"/>
      </w:pPr>
      <w:r w:rsidRPr="00E128D3">
        <w:t>une clause organisant la cession</w:t>
      </w:r>
      <w:r>
        <w:t> ;</w:t>
      </w:r>
    </w:p>
    <w:p w14:paraId="35342B8E" w14:textId="77777777" w:rsidR="00E128D3" w:rsidRPr="00E128D3" w:rsidRDefault="00E128D3">
      <w:pPr>
        <w:numPr>
          <w:ilvl w:val="0"/>
          <w:numId w:val="30"/>
        </w:numPr>
        <w:spacing w:after="0" w:line="240" w:lineRule="auto"/>
      </w:pPr>
      <w:r w:rsidRPr="00E128D3">
        <w:t>une clause interdisant purement et simplement toute cession du bail avec le fonds.</w:t>
      </w:r>
    </w:p>
    <w:p w14:paraId="2D77B7A9" w14:textId="77777777" w:rsidR="00E128D3" w:rsidRPr="00E128D3" w:rsidRDefault="00E128D3" w:rsidP="00E128D3">
      <w:pPr>
        <w:spacing w:after="0" w:line="240" w:lineRule="auto"/>
      </w:pPr>
      <w:r w:rsidRPr="00E128D3">
        <w:t>La seconde se heurte à l’article L. 145-16. (</w:t>
      </w:r>
      <w:hyperlink r:id="rId51" w:tooltip="Article L145-16 - Code de commerce - Légifrance" w:history="1">
        <w:r w:rsidRPr="00E128D3">
          <w:rPr>
            <w:rStyle w:val="Lienhypertexte"/>
          </w:rPr>
          <w:t>Légifrance</w:t>
        </w:r>
      </w:hyperlink>
      <w:r w:rsidRPr="00E128D3">
        <w:t>)</w:t>
      </w:r>
    </w:p>
    <w:p w14:paraId="64CD9666" w14:textId="77777777" w:rsidR="00E128D3" w:rsidRPr="00E128D3" w:rsidRDefault="00E128D3" w:rsidP="00E128D3">
      <w:pPr>
        <w:pStyle w:val="Titre1"/>
      </w:pPr>
      <w:r w:rsidRPr="00E128D3">
        <w:t>34. La garantie du cédant est limitée dans le temps</w:t>
      </w:r>
    </w:p>
    <w:p w14:paraId="3E0FB640" w14:textId="77777777" w:rsidR="00E128D3" w:rsidRPr="00E128D3" w:rsidRDefault="00E128D3" w:rsidP="00E128D3">
      <w:pPr>
        <w:spacing w:after="0" w:line="240" w:lineRule="auto"/>
      </w:pPr>
      <w:r w:rsidRPr="00E128D3">
        <w:t xml:space="preserve">Lorsque le bail prévoit qu’en cas de cession le cédant reste garant du paiement des loyers dus par le nouvel exploitant, le bailleur ne peut invoquer cette garantie que pendant </w:t>
      </w:r>
      <w:r w:rsidRPr="00E128D3">
        <w:rPr>
          <w:b/>
          <w:bCs/>
        </w:rPr>
        <w:t>trois ans à compter de la cession</w:t>
      </w:r>
      <w:r w:rsidRPr="00E128D3">
        <w:t>. (</w:t>
      </w:r>
      <w:hyperlink r:id="rId52" w:tooltip="Article L145-16-2 - Code de commerce" w:history="1">
        <w:r w:rsidRPr="00E128D3">
          <w:rPr>
            <w:rStyle w:val="Lienhypertexte"/>
          </w:rPr>
          <w:t>Légifrance</w:t>
        </w:r>
      </w:hyperlink>
      <w:r w:rsidRPr="00E128D3">
        <w:t>)</w:t>
      </w:r>
    </w:p>
    <w:p w14:paraId="7BCF7E01" w14:textId="77777777" w:rsidR="00E128D3" w:rsidRPr="00E128D3" w:rsidRDefault="00E128D3" w:rsidP="00E128D3">
      <w:pPr>
        <w:spacing w:after="0" w:line="240" w:lineRule="auto"/>
      </w:pPr>
      <w:r w:rsidRPr="00E128D3">
        <w:t>Cette règle protège l’ancien locataire contre une garantie indéfinie.</w:t>
      </w:r>
    </w:p>
    <w:p w14:paraId="6221D483" w14:textId="77777777" w:rsidR="00E128D3" w:rsidRPr="00E128D3" w:rsidRDefault="00E128D3" w:rsidP="00E128D3">
      <w:pPr>
        <w:pStyle w:val="Titre1"/>
      </w:pPr>
      <w:r w:rsidRPr="00E128D3">
        <w:t>35. La sous-location n’est pas la cession</w:t>
      </w:r>
    </w:p>
    <w:p w14:paraId="46E29203" w14:textId="5E2FA041" w:rsidR="00E128D3" w:rsidRPr="00E128D3" w:rsidRDefault="00E128D3" w:rsidP="00E128D3">
      <w:pPr>
        <w:spacing w:after="0" w:line="240" w:lineRule="auto"/>
      </w:pPr>
      <w:r w:rsidRPr="00E128D3">
        <w:t>Il faut distinguer</w:t>
      </w:r>
      <w:r>
        <w:t> :</w:t>
      </w:r>
    </w:p>
    <w:p w14:paraId="7D08508E" w14:textId="77777777" w:rsidR="00E128D3" w:rsidRPr="00E128D3" w:rsidRDefault="00E128D3" w:rsidP="00E128D3">
      <w:pPr>
        <w:spacing w:after="0" w:line="240" w:lineRule="auto"/>
        <w:rPr>
          <w:b/>
          <w:bCs/>
        </w:rPr>
      </w:pPr>
      <w:r w:rsidRPr="00E128D3">
        <w:rPr>
          <w:b/>
          <w:bCs/>
        </w:rPr>
        <w:t>Cession</w:t>
      </w:r>
    </w:p>
    <w:p w14:paraId="43076520" w14:textId="77777777" w:rsidR="00E128D3" w:rsidRPr="00E128D3" w:rsidRDefault="00E128D3" w:rsidP="00E128D3">
      <w:pPr>
        <w:spacing w:after="0" w:line="240" w:lineRule="auto"/>
      </w:pPr>
      <w:r w:rsidRPr="00E128D3">
        <w:t>Le locataire transmet ses droits au cessionnaire.</w:t>
      </w:r>
    </w:p>
    <w:p w14:paraId="0DBF5B1D" w14:textId="77777777" w:rsidR="00E128D3" w:rsidRPr="00E128D3" w:rsidRDefault="00E128D3" w:rsidP="00E128D3">
      <w:pPr>
        <w:spacing w:after="0" w:line="240" w:lineRule="auto"/>
        <w:rPr>
          <w:b/>
          <w:bCs/>
        </w:rPr>
      </w:pPr>
      <w:r w:rsidRPr="00E128D3">
        <w:rPr>
          <w:b/>
          <w:bCs/>
        </w:rPr>
        <w:t>Sous-location</w:t>
      </w:r>
    </w:p>
    <w:p w14:paraId="01171CE3" w14:textId="77777777" w:rsidR="00E128D3" w:rsidRPr="00E128D3" w:rsidRDefault="00E128D3" w:rsidP="00E128D3">
      <w:pPr>
        <w:spacing w:after="0" w:line="240" w:lineRule="auto"/>
      </w:pPr>
      <w:r w:rsidRPr="00E128D3">
        <w:t>Le locataire principal reste titulaire du bail mais consent lui-même une location à un tiers.</w:t>
      </w:r>
    </w:p>
    <w:p w14:paraId="6EBBF087" w14:textId="77777777" w:rsidR="00E128D3" w:rsidRPr="00E128D3" w:rsidRDefault="00E128D3" w:rsidP="00E128D3">
      <w:pPr>
        <w:spacing w:after="0" w:line="240" w:lineRule="auto"/>
      </w:pPr>
      <w:r w:rsidRPr="00E128D3">
        <w:t>Le régime des baux commerciaux encadre spécifiquement la sous-location, qui n’est en principe possible que dans les conditions de l’article L. 145-31, notamment avec l’accord du bailleur lorsqu’il est exigé. (</w:t>
      </w:r>
      <w:hyperlink r:id="rId53" w:tooltip="Article L145-31 - Code de commerce" w:history="1">
        <w:r w:rsidRPr="00E128D3">
          <w:rPr>
            <w:rStyle w:val="Lienhypertexte"/>
          </w:rPr>
          <w:t>Légifrance</w:t>
        </w:r>
      </w:hyperlink>
      <w:r w:rsidRPr="00E128D3">
        <w:t>)</w:t>
      </w:r>
    </w:p>
    <w:p w14:paraId="3B07507F" w14:textId="4DA87C1E" w:rsidR="00E128D3" w:rsidRPr="00E128D3" w:rsidRDefault="00E128D3" w:rsidP="00E128D3">
      <w:pPr>
        <w:pStyle w:val="Titre1"/>
      </w:pPr>
      <w:r w:rsidRPr="00E128D3">
        <w:t>36. Clause résolutoire</w:t>
      </w:r>
      <w:r>
        <w:t> :</w:t>
      </w:r>
      <w:r w:rsidRPr="00E128D3">
        <w:t xml:space="preserve"> régime modifié en mai 2026</w:t>
      </w:r>
    </w:p>
    <w:p w14:paraId="22A7FB45" w14:textId="77777777" w:rsidR="00E128D3" w:rsidRPr="00E128D3" w:rsidRDefault="00E128D3" w:rsidP="00E128D3">
      <w:pPr>
        <w:spacing w:after="0" w:line="240" w:lineRule="auto"/>
      </w:pPr>
      <w:r w:rsidRPr="00E128D3">
        <w:t>Une clause résolutoire prévoit la résiliation de plein droit du bail si le locataire manque à certaines obligations.</w:t>
      </w:r>
    </w:p>
    <w:p w14:paraId="215F4575" w14:textId="77777777" w:rsidR="00E128D3" w:rsidRPr="00E128D3" w:rsidRDefault="00E128D3" w:rsidP="00E128D3">
      <w:pPr>
        <w:spacing w:after="0" w:line="240" w:lineRule="auto"/>
      </w:pPr>
      <w:r w:rsidRPr="00E128D3">
        <w:t xml:space="preserve">Depuis le </w:t>
      </w:r>
      <w:r w:rsidRPr="00E128D3">
        <w:rPr>
          <w:b/>
          <w:bCs/>
        </w:rPr>
        <w:t>28 mai 2026</w:t>
      </w:r>
      <w:r w:rsidRPr="00E128D3">
        <w:t>, l’article L. 145-41 prévoit toujours que la clause ne produit effet qu’</w:t>
      </w:r>
      <w:r w:rsidRPr="00E128D3">
        <w:rPr>
          <w:b/>
          <w:bCs/>
        </w:rPr>
        <w:t>un mois après un commandement demeuré infructueux</w:t>
      </w:r>
      <w:r w:rsidRPr="00E128D3">
        <w:t>. Le commandement doit mentionner ce délai à peine de nullité. (</w:t>
      </w:r>
      <w:hyperlink r:id="rId54" w:tooltip="Section 7 : De la résiliation (Articles L145-41 à L145-46-1) - Légifrance" w:history="1">
        <w:r w:rsidRPr="00E128D3">
          <w:rPr>
            <w:rStyle w:val="Lienhypertexte"/>
          </w:rPr>
          <w:t>Légifrance</w:t>
        </w:r>
      </w:hyperlink>
      <w:r w:rsidRPr="00E128D3">
        <w:t>)</w:t>
      </w:r>
    </w:p>
    <w:p w14:paraId="5EF8669B" w14:textId="77777777" w:rsidR="00E128D3" w:rsidRPr="00E128D3" w:rsidRDefault="00E128D3" w:rsidP="00E128D3">
      <w:pPr>
        <w:spacing w:after="0" w:line="240" w:lineRule="auto"/>
      </w:pPr>
      <w:r w:rsidRPr="00E128D3">
        <w:t>La loi du 26 mai 2026 précise désormais également les conditions dans lesquelles le juge peut accorder des délais et suspendre les effets de la clause. Pour les impayés de loyers, le locataire doit notamment être capable de régler sa dette locative et avoir repris le paiement intégral du loyer courant avant la première audience. (</w:t>
      </w:r>
      <w:hyperlink r:id="rId55" w:tooltip="Section 7 : De la résiliation (Articles L145-41 à L145-46-1) - Légifrance" w:history="1">
        <w:r w:rsidRPr="00E128D3">
          <w:rPr>
            <w:rStyle w:val="Lienhypertexte"/>
          </w:rPr>
          <w:t>Légifrance</w:t>
        </w:r>
      </w:hyperlink>
      <w:r w:rsidRPr="00E128D3">
        <w:t>)</w:t>
      </w:r>
    </w:p>
    <w:p w14:paraId="7A851E9F" w14:textId="77777777" w:rsidR="00E128D3" w:rsidRPr="00E128D3" w:rsidRDefault="00E128D3" w:rsidP="00E128D3">
      <w:pPr>
        <w:spacing w:after="0" w:line="240" w:lineRule="auto"/>
        <w:rPr>
          <w:b/>
          <w:bCs/>
        </w:rPr>
      </w:pPr>
      <w:r w:rsidRPr="00E128D3">
        <w:rPr>
          <w:b/>
          <w:bCs/>
        </w:rPr>
        <w:t>Point essentiel</w:t>
      </w:r>
    </w:p>
    <w:p w14:paraId="5FF4C38E" w14:textId="77777777" w:rsidR="00E128D3" w:rsidRPr="00E128D3" w:rsidRDefault="00E128D3" w:rsidP="00E128D3">
      <w:pPr>
        <w:spacing w:after="0" w:line="240" w:lineRule="auto"/>
      </w:pPr>
      <w:r w:rsidRPr="00E128D3">
        <w:t>Une clause résolutoire ne permet donc pas au bailleur de considérer le bail comme immédiatement résilié dès le premier impayé.</w:t>
      </w:r>
    </w:p>
    <w:p w14:paraId="4BFEF9EC" w14:textId="63A94059" w:rsidR="00E128D3" w:rsidRPr="00E128D3" w:rsidRDefault="00E128D3" w:rsidP="00E128D3">
      <w:pPr>
        <w:pStyle w:val="Titre1"/>
      </w:pPr>
      <w:r w:rsidRPr="00E128D3">
        <w:t>37. Autre évolution 2026</w:t>
      </w:r>
      <w:r>
        <w:t> :</w:t>
      </w:r>
      <w:r w:rsidRPr="00E128D3">
        <w:t xml:space="preserve"> restitution des sommes versées en garantie</w:t>
      </w:r>
    </w:p>
    <w:p w14:paraId="0FC6BCB0" w14:textId="77777777" w:rsidR="00E128D3" w:rsidRPr="00E128D3" w:rsidRDefault="00E128D3" w:rsidP="00E128D3">
      <w:pPr>
        <w:spacing w:after="0" w:line="240" w:lineRule="auto"/>
      </w:pPr>
      <w:r w:rsidRPr="00E128D3">
        <w:t>Le régime du bail commercial a également été modifié en 2026 concernant les sommes versées par le locataire à titre de garantie.</w:t>
      </w:r>
    </w:p>
    <w:p w14:paraId="56415945" w14:textId="77777777" w:rsidR="00E128D3" w:rsidRPr="00E128D3" w:rsidRDefault="00E128D3" w:rsidP="00E128D3">
      <w:pPr>
        <w:spacing w:after="0" w:line="240" w:lineRule="auto"/>
      </w:pPr>
      <w:r w:rsidRPr="00E128D3">
        <w:t xml:space="preserve">L’article L. 145-40 prévoit désormais leur restitution dans un délai raisonnable ne pouvant excéder </w:t>
      </w:r>
      <w:r w:rsidRPr="00E128D3">
        <w:rPr>
          <w:b/>
          <w:bCs/>
        </w:rPr>
        <w:t>trois mois à compter de la remise des clés</w:t>
      </w:r>
      <w:r w:rsidRPr="00E128D3">
        <w:t>, après déduction des sommes restant légitimement dues et dûment justifiées. (</w:t>
      </w:r>
      <w:hyperlink r:id="rId56" w:tooltip="Article L145-40 - Code de commerce" w:history="1">
        <w:r w:rsidRPr="00E128D3">
          <w:rPr>
            <w:rStyle w:val="Lienhypertexte"/>
          </w:rPr>
          <w:t>Légifrance</w:t>
        </w:r>
      </w:hyperlink>
      <w:r w:rsidRPr="00E128D3">
        <w:t>)</w:t>
      </w:r>
    </w:p>
    <w:p w14:paraId="240A81C9" w14:textId="77777777" w:rsidR="00E128D3" w:rsidRPr="00E128D3" w:rsidRDefault="00E128D3" w:rsidP="00E128D3">
      <w:pPr>
        <w:spacing w:after="0" w:line="240" w:lineRule="auto"/>
      </w:pPr>
      <w:r w:rsidRPr="00E128D3">
        <w:t>Cette règle doit être intégrée aux modèles de baux et aux pratiques de restitution des dépôts.</w:t>
      </w:r>
    </w:p>
    <w:p w14:paraId="4221CE11" w14:textId="77777777" w:rsidR="00E128D3" w:rsidRPr="00E128D3" w:rsidRDefault="00E128D3" w:rsidP="00E128D3">
      <w:pPr>
        <w:pStyle w:val="Titre1"/>
      </w:pPr>
      <w:r w:rsidRPr="00E128D3">
        <w:t>38. Méthode pour identifier un fonds de commerce</w:t>
      </w:r>
    </w:p>
    <w:p w14:paraId="25EB380C" w14:textId="6D5D58E1" w:rsidR="00E128D3" w:rsidRPr="00E128D3" w:rsidRDefault="00E128D3" w:rsidP="00E128D3">
      <w:pPr>
        <w:spacing w:after="0" w:line="240" w:lineRule="auto"/>
        <w:rPr>
          <w:b/>
          <w:bCs/>
        </w:rPr>
      </w:pPr>
      <w:r w:rsidRPr="00E128D3">
        <w:rPr>
          <w:b/>
          <w:bCs/>
        </w:rPr>
        <w:t xml:space="preserve">Étape 1 </w:t>
      </w:r>
      <w:r>
        <w:rPr>
          <w:b/>
          <w:bCs/>
        </w:rPr>
        <w:t>-</w:t>
      </w:r>
      <w:r w:rsidRPr="00E128D3">
        <w:rPr>
          <w:b/>
          <w:bCs/>
        </w:rPr>
        <w:t xml:space="preserve"> Rechercher une clientèle propre</w:t>
      </w:r>
    </w:p>
    <w:p w14:paraId="4BD1DDFB" w14:textId="4E946EB8" w:rsidR="00E128D3" w:rsidRPr="00E128D3" w:rsidRDefault="00E128D3" w:rsidP="00E128D3">
      <w:pPr>
        <w:spacing w:after="0" w:line="240" w:lineRule="auto"/>
      </w:pPr>
      <w:r w:rsidRPr="00E128D3">
        <w:t>Sans clientèle</w:t>
      </w:r>
      <w:r>
        <w:t> :</w:t>
      </w:r>
    </w:p>
    <w:p w14:paraId="4D3DB3CF" w14:textId="77777777" w:rsidR="00E128D3" w:rsidRPr="00E128D3" w:rsidRDefault="00E128D3" w:rsidP="00E128D3">
      <w:pPr>
        <w:spacing w:after="0" w:line="240" w:lineRule="auto"/>
      </w:pPr>
      <w:r w:rsidRPr="00E128D3">
        <w:t>pas de fonds de commerce.</w:t>
      </w:r>
    </w:p>
    <w:p w14:paraId="5327ECEE" w14:textId="57C9C293" w:rsidR="00E128D3" w:rsidRPr="00E128D3" w:rsidRDefault="00E128D3" w:rsidP="00E128D3">
      <w:pPr>
        <w:spacing w:after="0" w:line="240" w:lineRule="auto"/>
        <w:rPr>
          <w:b/>
          <w:bCs/>
        </w:rPr>
      </w:pPr>
      <w:r w:rsidRPr="00E128D3">
        <w:rPr>
          <w:b/>
          <w:bCs/>
        </w:rPr>
        <w:t xml:space="preserve">Étape 2 </w:t>
      </w:r>
      <w:r>
        <w:rPr>
          <w:b/>
          <w:bCs/>
        </w:rPr>
        <w:t>-</w:t>
      </w:r>
      <w:r w:rsidRPr="00E128D3">
        <w:rPr>
          <w:b/>
          <w:bCs/>
        </w:rPr>
        <w:t xml:space="preserve"> Identifier les éléments incorporels</w:t>
      </w:r>
    </w:p>
    <w:p w14:paraId="3DB95368" w14:textId="394BA678" w:rsidR="00E128D3" w:rsidRPr="00E128D3" w:rsidRDefault="00E128D3">
      <w:pPr>
        <w:numPr>
          <w:ilvl w:val="0"/>
          <w:numId w:val="31"/>
        </w:numPr>
        <w:spacing w:after="0" w:line="240" w:lineRule="auto"/>
      </w:pPr>
      <w:r w:rsidRPr="00E128D3">
        <w:t>clientèle</w:t>
      </w:r>
      <w:r>
        <w:t> ;</w:t>
      </w:r>
    </w:p>
    <w:p w14:paraId="09C19AAC" w14:textId="38D6AB84" w:rsidR="00E128D3" w:rsidRPr="00E128D3" w:rsidRDefault="00E128D3">
      <w:pPr>
        <w:numPr>
          <w:ilvl w:val="0"/>
          <w:numId w:val="31"/>
        </w:numPr>
        <w:spacing w:after="0" w:line="240" w:lineRule="auto"/>
      </w:pPr>
      <w:r w:rsidRPr="00E128D3">
        <w:t>enseigne</w:t>
      </w:r>
      <w:r>
        <w:t> ;</w:t>
      </w:r>
    </w:p>
    <w:p w14:paraId="63575C73" w14:textId="7C5E63F4" w:rsidR="00E128D3" w:rsidRPr="00E128D3" w:rsidRDefault="00E128D3">
      <w:pPr>
        <w:numPr>
          <w:ilvl w:val="0"/>
          <w:numId w:val="31"/>
        </w:numPr>
        <w:spacing w:after="0" w:line="240" w:lineRule="auto"/>
      </w:pPr>
      <w:r w:rsidRPr="00E128D3">
        <w:t>nom commercial</w:t>
      </w:r>
      <w:r>
        <w:t> ;</w:t>
      </w:r>
    </w:p>
    <w:p w14:paraId="298288D0" w14:textId="09C13B38" w:rsidR="00E128D3" w:rsidRPr="00E128D3" w:rsidRDefault="00E128D3">
      <w:pPr>
        <w:numPr>
          <w:ilvl w:val="0"/>
          <w:numId w:val="31"/>
        </w:numPr>
        <w:spacing w:after="0" w:line="240" w:lineRule="auto"/>
      </w:pPr>
      <w:r w:rsidRPr="00E128D3">
        <w:t>droit au bail</w:t>
      </w:r>
      <w:r>
        <w:t> ;</w:t>
      </w:r>
    </w:p>
    <w:p w14:paraId="0FC74FA9" w14:textId="6A800CB5" w:rsidR="00E128D3" w:rsidRPr="00E128D3" w:rsidRDefault="00E128D3">
      <w:pPr>
        <w:numPr>
          <w:ilvl w:val="0"/>
          <w:numId w:val="31"/>
        </w:numPr>
        <w:spacing w:after="0" w:line="240" w:lineRule="auto"/>
      </w:pPr>
      <w:r w:rsidRPr="00E128D3">
        <w:t>marques</w:t>
      </w:r>
      <w:r>
        <w:t> ;</w:t>
      </w:r>
    </w:p>
    <w:p w14:paraId="6C47AD6E" w14:textId="77777777" w:rsidR="00E128D3" w:rsidRPr="00E128D3" w:rsidRDefault="00E128D3">
      <w:pPr>
        <w:numPr>
          <w:ilvl w:val="0"/>
          <w:numId w:val="31"/>
        </w:numPr>
        <w:spacing w:after="0" w:line="240" w:lineRule="auto"/>
      </w:pPr>
      <w:r w:rsidRPr="00E128D3">
        <w:t>autres droits.</w:t>
      </w:r>
    </w:p>
    <w:p w14:paraId="14D54728" w14:textId="445DC49A" w:rsidR="00E128D3" w:rsidRPr="00E128D3" w:rsidRDefault="00E128D3" w:rsidP="00E128D3">
      <w:pPr>
        <w:spacing w:after="0" w:line="240" w:lineRule="auto"/>
        <w:rPr>
          <w:b/>
          <w:bCs/>
        </w:rPr>
      </w:pPr>
      <w:r w:rsidRPr="00E128D3">
        <w:rPr>
          <w:b/>
          <w:bCs/>
        </w:rPr>
        <w:t xml:space="preserve">Étape 3 </w:t>
      </w:r>
      <w:r>
        <w:rPr>
          <w:b/>
          <w:bCs/>
        </w:rPr>
        <w:t>-</w:t>
      </w:r>
      <w:r w:rsidRPr="00E128D3">
        <w:rPr>
          <w:b/>
          <w:bCs/>
        </w:rPr>
        <w:t xml:space="preserve"> Identifier les éléments corporels</w:t>
      </w:r>
    </w:p>
    <w:p w14:paraId="5517761D" w14:textId="06B62F59" w:rsidR="00E128D3" w:rsidRPr="00E128D3" w:rsidRDefault="00E128D3">
      <w:pPr>
        <w:numPr>
          <w:ilvl w:val="0"/>
          <w:numId w:val="32"/>
        </w:numPr>
        <w:spacing w:after="0" w:line="240" w:lineRule="auto"/>
      </w:pPr>
      <w:r w:rsidRPr="00E128D3">
        <w:t>matériel</w:t>
      </w:r>
      <w:r>
        <w:t> ;</w:t>
      </w:r>
    </w:p>
    <w:p w14:paraId="001B134D" w14:textId="25ACBA48" w:rsidR="00E128D3" w:rsidRPr="00E128D3" w:rsidRDefault="00E128D3">
      <w:pPr>
        <w:numPr>
          <w:ilvl w:val="0"/>
          <w:numId w:val="32"/>
        </w:numPr>
        <w:spacing w:after="0" w:line="240" w:lineRule="auto"/>
      </w:pPr>
      <w:r w:rsidRPr="00E128D3">
        <w:t>mobilier</w:t>
      </w:r>
      <w:r>
        <w:t> ;</w:t>
      </w:r>
    </w:p>
    <w:p w14:paraId="29C01F81" w14:textId="51A6CEF1" w:rsidR="00E128D3" w:rsidRPr="00E128D3" w:rsidRDefault="00E128D3">
      <w:pPr>
        <w:numPr>
          <w:ilvl w:val="0"/>
          <w:numId w:val="32"/>
        </w:numPr>
        <w:spacing w:after="0" w:line="240" w:lineRule="auto"/>
      </w:pPr>
      <w:r w:rsidRPr="00E128D3">
        <w:t>outillage</w:t>
      </w:r>
      <w:r>
        <w:t> ;</w:t>
      </w:r>
    </w:p>
    <w:p w14:paraId="4A8569FC" w14:textId="77777777" w:rsidR="00E128D3" w:rsidRPr="00E128D3" w:rsidRDefault="00E128D3">
      <w:pPr>
        <w:numPr>
          <w:ilvl w:val="0"/>
          <w:numId w:val="32"/>
        </w:numPr>
        <w:spacing w:after="0" w:line="240" w:lineRule="auto"/>
      </w:pPr>
      <w:r w:rsidRPr="00E128D3">
        <w:t>marchandises.</w:t>
      </w:r>
    </w:p>
    <w:p w14:paraId="7B3FD3C4" w14:textId="6CEA4E05" w:rsidR="00E128D3" w:rsidRPr="00E128D3" w:rsidRDefault="00E128D3" w:rsidP="00E128D3">
      <w:pPr>
        <w:spacing w:after="0" w:line="240" w:lineRule="auto"/>
        <w:rPr>
          <w:b/>
          <w:bCs/>
        </w:rPr>
      </w:pPr>
      <w:r w:rsidRPr="00E128D3">
        <w:rPr>
          <w:b/>
          <w:bCs/>
        </w:rPr>
        <w:t xml:space="preserve">Étape 4 </w:t>
      </w:r>
      <w:r>
        <w:rPr>
          <w:b/>
          <w:bCs/>
        </w:rPr>
        <w:t>-</w:t>
      </w:r>
      <w:r w:rsidRPr="00E128D3">
        <w:rPr>
          <w:b/>
          <w:bCs/>
        </w:rPr>
        <w:t xml:space="preserve"> Exclure ce qui ne fait pas automatiquement partie du fonds</w:t>
      </w:r>
    </w:p>
    <w:p w14:paraId="5AAC03A2" w14:textId="360D3672" w:rsidR="00E128D3" w:rsidRPr="00E128D3" w:rsidRDefault="00E128D3">
      <w:pPr>
        <w:numPr>
          <w:ilvl w:val="0"/>
          <w:numId w:val="33"/>
        </w:numPr>
        <w:spacing w:after="0" w:line="240" w:lineRule="auto"/>
      </w:pPr>
      <w:r w:rsidRPr="00E128D3">
        <w:t>immeuble</w:t>
      </w:r>
      <w:r>
        <w:t> ;</w:t>
      </w:r>
    </w:p>
    <w:p w14:paraId="14143A64" w14:textId="630C7881" w:rsidR="00E128D3" w:rsidRPr="00E128D3" w:rsidRDefault="00E128D3">
      <w:pPr>
        <w:numPr>
          <w:ilvl w:val="0"/>
          <w:numId w:val="33"/>
        </w:numPr>
        <w:spacing w:after="0" w:line="240" w:lineRule="auto"/>
      </w:pPr>
      <w:r w:rsidRPr="00E128D3">
        <w:t>dettes</w:t>
      </w:r>
      <w:r>
        <w:t> ;</w:t>
      </w:r>
    </w:p>
    <w:p w14:paraId="6710CE51" w14:textId="4321FE9B" w:rsidR="00E128D3" w:rsidRPr="00E128D3" w:rsidRDefault="00E128D3">
      <w:pPr>
        <w:numPr>
          <w:ilvl w:val="0"/>
          <w:numId w:val="33"/>
        </w:numPr>
        <w:spacing w:after="0" w:line="240" w:lineRule="auto"/>
      </w:pPr>
      <w:r w:rsidRPr="00E128D3">
        <w:t>créances</w:t>
      </w:r>
      <w:r>
        <w:t> ;</w:t>
      </w:r>
    </w:p>
    <w:p w14:paraId="0AC7D7EA" w14:textId="77777777" w:rsidR="00E128D3" w:rsidRPr="00E128D3" w:rsidRDefault="00E128D3">
      <w:pPr>
        <w:numPr>
          <w:ilvl w:val="0"/>
          <w:numId w:val="33"/>
        </w:numPr>
        <w:spacing w:after="0" w:line="240" w:lineRule="auto"/>
      </w:pPr>
      <w:r w:rsidRPr="00E128D3">
        <w:t>contrats sans mécanisme de transmission.</w:t>
      </w:r>
    </w:p>
    <w:p w14:paraId="2FB2E15C" w14:textId="2A3399E9" w:rsidR="00E128D3" w:rsidRPr="00E128D3" w:rsidRDefault="00E128D3" w:rsidP="00E128D3">
      <w:pPr>
        <w:spacing w:after="0" w:line="240" w:lineRule="auto"/>
        <w:rPr>
          <w:b/>
          <w:bCs/>
        </w:rPr>
      </w:pPr>
      <w:r w:rsidRPr="00E128D3">
        <w:rPr>
          <w:b/>
          <w:bCs/>
        </w:rPr>
        <w:t xml:space="preserve">Étape 5 </w:t>
      </w:r>
      <w:r>
        <w:rPr>
          <w:b/>
          <w:bCs/>
        </w:rPr>
        <w:t>-</w:t>
      </w:r>
      <w:r w:rsidRPr="00E128D3">
        <w:rPr>
          <w:b/>
          <w:bCs/>
        </w:rPr>
        <w:t xml:space="preserve"> Identifier l’opération envisagée</w:t>
      </w:r>
    </w:p>
    <w:p w14:paraId="7C7C467B" w14:textId="24E01882" w:rsidR="00E128D3" w:rsidRPr="00E128D3" w:rsidRDefault="00E128D3">
      <w:pPr>
        <w:numPr>
          <w:ilvl w:val="0"/>
          <w:numId w:val="34"/>
        </w:numPr>
        <w:spacing w:after="0" w:line="240" w:lineRule="auto"/>
      </w:pPr>
      <w:r w:rsidRPr="00E128D3">
        <w:t>cession</w:t>
      </w:r>
      <w:r>
        <w:t> ;</w:t>
      </w:r>
    </w:p>
    <w:p w14:paraId="46A8E880" w14:textId="0FA9DBC4" w:rsidR="00E128D3" w:rsidRPr="00E128D3" w:rsidRDefault="00E128D3">
      <w:pPr>
        <w:numPr>
          <w:ilvl w:val="0"/>
          <w:numId w:val="34"/>
        </w:numPr>
        <w:spacing w:after="0" w:line="240" w:lineRule="auto"/>
      </w:pPr>
      <w:r w:rsidRPr="00E128D3">
        <w:t>apport</w:t>
      </w:r>
      <w:r>
        <w:t> ;</w:t>
      </w:r>
    </w:p>
    <w:p w14:paraId="58EC4E3D" w14:textId="508EDD3A" w:rsidR="00E128D3" w:rsidRPr="00E128D3" w:rsidRDefault="00E128D3">
      <w:pPr>
        <w:numPr>
          <w:ilvl w:val="0"/>
          <w:numId w:val="34"/>
        </w:numPr>
        <w:spacing w:after="0" w:line="240" w:lineRule="auto"/>
      </w:pPr>
      <w:r w:rsidRPr="00E128D3">
        <w:t>nantissement</w:t>
      </w:r>
      <w:r>
        <w:t> ;</w:t>
      </w:r>
    </w:p>
    <w:p w14:paraId="7C826EE5" w14:textId="77777777" w:rsidR="00E128D3" w:rsidRPr="00E128D3" w:rsidRDefault="00E128D3">
      <w:pPr>
        <w:numPr>
          <w:ilvl w:val="0"/>
          <w:numId w:val="34"/>
        </w:numPr>
        <w:spacing w:after="0" w:line="240" w:lineRule="auto"/>
      </w:pPr>
      <w:r w:rsidRPr="00E128D3">
        <w:t>déplacement du fonds.</w:t>
      </w:r>
    </w:p>
    <w:p w14:paraId="32E5473F" w14:textId="77777777" w:rsidR="00E128D3" w:rsidRPr="00E128D3" w:rsidRDefault="00E128D3" w:rsidP="00E128D3">
      <w:pPr>
        <w:pStyle w:val="Titre1"/>
      </w:pPr>
      <w:r w:rsidRPr="00E128D3">
        <w:t>39. Méthode pour analyser un bail commercial</w:t>
      </w:r>
    </w:p>
    <w:tbl>
      <w:tblPr>
        <w:tblStyle w:val="Grilledutableau"/>
        <w:tblW w:w="0" w:type="auto"/>
        <w:tblLook w:val="04A0" w:firstRow="1" w:lastRow="0" w:firstColumn="1" w:lastColumn="0" w:noHBand="0" w:noVBand="1"/>
      </w:tblPr>
      <w:tblGrid>
        <w:gridCol w:w="2198"/>
        <w:gridCol w:w="4427"/>
      </w:tblGrid>
      <w:tr w:rsidR="00E128D3" w:rsidRPr="00E128D3" w14:paraId="705B520E" w14:textId="77777777" w:rsidTr="00E128D3">
        <w:trPr>
          <w:tblHeader/>
        </w:trPr>
        <w:tc>
          <w:tcPr>
            <w:tcW w:w="0" w:type="auto"/>
            <w:hideMark/>
          </w:tcPr>
          <w:p w14:paraId="20EAFFB3"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Question</w:t>
            </w:r>
          </w:p>
        </w:tc>
        <w:tc>
          <w:tcPr>
            <w:tcW w:w="0" w:type="auto"/>
            <w:hideMark/>
          </w:tcPr>
          <w:p w14:paraId="72603843"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Vérification</w:t>
            </w:r>
          </w:p>
        </w:tc>
      </w:tr>
      <w:tr w:rsidR="00E128D3" w:rsidRPr="00E128D3" w14:paraId="42381D8B" w14:textId="77777777" w:rsidTr="00E128D3">
        <w:tc>
          <w:tcPr>
            <w:tcW w:w="0" w:type="auto"/>
            <w:hideMark/>
          </w:tcPr>
          <w:p w14:paraId="7A67DCB1" w14:textId="37691F33" w:rsidR="00E128D3" w:rsidRPr="00E128D3" w:rsidRDefault="00E128D3" w:rsidP="00E128D3">
            <w:pPr>
              <w:jc w:val="left"/>
              <w:rPr>
                <w:rFonts w:ascii="Calibri" w:hAnsi="Calibri" w:cs="Calibri"/>
                <w:sz w:val="20"/>
              </w:rPr>
            </w:pPr>
            <w:r w:rsidRPr="00E128D3">
              <w:rPr>
                <w:rFonts w:ascii="Calibri" w:hAnsi="Calibri" w:cs="Calibri"/>
                <w:sz w:val="20"/>
              </w:rPr>
              <w:t>Le statut s’applique-t-il</w:t>
            </w:r>
            <w:r w:rsidRPr="00E128D3">
              <w:rPr>
                <w:rFonts w:ascii="Calibri" w:hAnsi="Calibri" w:cs="Calibri"/>
                <w:sz w:val="20"/>
              </w:rPr>
              <w:t> ?</w:t>
            </w:r>
          </w:p>
        </w:tc>
        <w:tc>
          <w:tcPr>
            <w:tcW w:w="0" w:type="auto"/>
            <w:hideMark/>
          </w:tcPr>
          <w:p w14:paraId="7D8A6B02" w14:textId="77777777" w:rsidR="00E128D3" w:rsidRPr="00E128D3" w:rsidRDefault="00E128D3" w:rsidP="00E128D3">
            <w:pPr>
              <w:jc w:val="left"/>
              <w:rPr>
                <w:rFonts w:ascii="Calibri" w:hAnsi="Calibri" w:cs="Calibri"/>
                <w:sz w:val="20"/>
              </w:rPr>
            </w:pPr>
            <w:r w:rsidRPr="00E128D3">
              <w:rPr>
                <w:rFonts w:ascii="Calibri" w:hAnsi="Calibri" w:cs="Calibri"/>
                <w:sz w:val="20"/>
              </w:rPr>
              <w:t>Local + fonds + exploitant remplissant les conditions</w:t>
            </w:r>
          </w:p>
        </w:tc>
      </w:tr>
      <w:tr w:rsidR="00E128D3" w:rsidRPr="00E128D3" w14:paraId="55CC4A5B" w14:textId="77777777" w:rsidTr="00E128D3">
        <w:tc>
          <w:tcPr>
            <w:tcW w:w="0" w:type="auto"/>
            <w:hideMark/>
          </w:tcPr>
          <w:p w14:paraId="7DD23409" w14:textId="38098336" w:rsidR="00E128D3" w:rsidRPr="00E128D3" w:rsidRDefault="00E128D3" w:rsidP="00E128D3">
            <w:pPr>
              <w:jc w:val="left"/>
              <w:rPr>
                <w:rFonts w:ascii="Calibri" w:hAnsi="Calibri" w:cs="Calibri"/>
                <w:sz w:val="20"/>
              </w:rPr>
            </w:pPr>
            <w:r w:rsidRPr="00E128D3">
              <w:rPr>
                <w:rFonts w:ascii="Calibri" w:hAnsi="Calibri" w:cs="Calibri"/>
                <w:sz w:val="20"/>
              </w:rPr>
              <w:t>Durée</w:t>
            </w:r>
            <w:r w:rsidRPr="00E128D3">
              <w:rPr>
                <w:rFonts w:ascii="Calibri" w:hAnsi="Calibri" w:cs="Calibri"/>
                <w:sz w:val="20"/>
              </w:rPr>
              <w:t> ?</w:t>
            </w:r>
          </w:p>
        </w:tc>
        <w:tc>
          <w:tcPr>
            <w:tcW w:w="0" w:type="auto"/>
            <w:hideMark/>
          </w:tcPr>
          <w:p w14:paraId="0423359C" w14:textId="77777777" w:rsidR="00E128D3" w:rsidRPr="00E128D3" w:rsidRDefault="00E128D3" w:rsidP="00E128D3">
            <w:pPr>
              <w:jc w:val="left"/>
              <w:rPr>
                <w:rFonts w:ascii="Calibri" w:hAnsi="Calibri" w:cs="Calibri"/>
                <w:sz w:val="20"/>
              </w:rPr>
            </w:pPr>
            <w:r w:rsidRPr="00E128D3">
              <w:rPr>
                <w:rFonts w:ascii="Calibri" w:hAnsi="Calibri" w:cs="Calibri"/>
                <w:sz w:val="20"/>
              </w:rPr>
              <w:t>9 ans minimum en principe</w:t>
            </w:r>
          </w:p>
        </w:tc>
      </w:tr>
      <w:tr w:rsidR="00E128D3" w:rsidRPr="00E128D3" w14:paraId="41157825" w14:textId="77777777" w:rsidTr="00E128D3">
        <w:tc>
          <w:tcPr>
            <w:tcW w:w="0" w:type="auto"/>
            <w:hideMark/>
          </w:tcPr>
          <w:p w14:paraId="194D771A" w14:textId="5104D2C9" w:rsidR="00E128D3" w:rsidRPr="00E128D3" w:rsidRDefault="00E128D3" w:rsidP="00E128D3">
            <w:pPr>
              <w:jc w:val="left"/>
              <w:rPr>
                <w:rFonts w:ascii="Calibri" w:hAnsi="Calibri" w:cs="Calibri"/>
                <w:sz w:val="20"/>
              </w:rPr>
            </w:pPr>
            <w:r w:rsidRPr="00E128D3">
              <w:rPr>
                <w:rFonts w:ascii="Calibri" w:hAnsi="Calibri" w:cs="Calibri"/>
                <w:sz w:val="20"/>
              </w:rPr>
              <w:t>Locataire veut partir</w:t>
            </w:r>
            <w:r w:rsidRPr="00E128D3">
              <w:rPr>
                <w:rFonts w:ascii="Calibri" w:hAnsi="Calibri" w:cs="Calibri"/>
                <w:sz w:val="20"/>
              </w:rPr>
              <w:t> ?</w:t>
            </w:r>
          </w:p>
        </w:tc>
        <w:tc>
          <w:tcPr>
            <w:tcW w:w="0" w:type="auto"/>
            <w:hideMark/>
          </w:tcPr>
          <w:p w14:paraId="4BDEE574" w14:textId="77777777" w:rsidR="00E128D3" w:rsidRPr="00E128D3" w:rsidRDefault="00E128D3" w:rsidP="00E128D3">
            <w:pPr>
              <w:jc w:val="left"/>
              <w:rPr>
                <w:rFonts w:ascii="Calibri" w:hAnsi="Calibri" w:cs="Calibri"/>
                <w:sz w:val="20"/>
              </w:rPr>
            </w:pPr>
            <w:r w:rsidRPr="00E128D3">
              <w:rPr>
                <w:rFonts w:ascii="Calibri" w:hAnsi="Calibri" w:cs="Calibri"/>
                <w:sz w:val="20"/>
              </w:rPr>
              <w:t>Échéance triennale + préavis et forme</w:t>
            </w:r>
          </w:p>
        </w:tc>
      </w:tr>
      <w:tr w:rsidR="00E128D3" w:rsidRPr="00E128D3" w14:paraId="5B0822DD" w14:textId="77777777" w:rsidTr="00E128D3">
        <w:tc>
          <w:tcPr>
            <w:tcW w:w="0" w:type="auto"/>
            <w:hideMark/>
          </w:tcPr>
          <w:p w14:paraId="6FAEF795" w14:textId="359A9604" w:rsidR="00E128D3" w:rsidRPr="00E128D3" w:rsidRDefault="00E128D3" w:rsidP="00E128D3">
            <w:pPr>
              <w:jc w:val="left"/>
              <w:rPr>
                <w:rFonts w:ascii="Calibri" w:hAnsi="Calibri" w:cs="Calibri"/>
                <w:sz w:val="20"/>
              </w:rPr>
            </w:pPr>
            <w:r w:rsidRPr="00E128D3">
              <w:rPr>
                <w:rFonts w:ascii="Calibri" w:hAnsi="Calibri" w:cs="Calibri"/>
                <w:sz w:val="20"/>
              </w:rPr>
              <w:t>Activité modifiée</w:t>
            </w:r>
            <w:r w:rsidRPr="00E128D3">
              <w:rPr>
                <w:rFonts w:ascii="Calibri" w:hAnsi="Calibri" w:cs="Calibri"/>
                <w:sz w:val="20"/>
              </w:rPr>
              <w:t> ?</w:t>
            </w:r>
          </w:p>
        </w:tc>
        <w:tc>
          <w:tcPr>
            <w:tcW w:w="0" w:type="auto"/>
            <w:hideMark/>
          </w:tcPr>
          <w:p w14:paraId="265D0EA9" w14:textId="77777777" w:rsidR="00E128D3" w:rsidRPr="00E128D3" w:rsidRDefault="00E128D3" w:rsidP="00E128D3">
            <w:pPr>
              <w:jc w:val="left"/>
              <w:rPr>
                <w:rFonts w:ascii="Calibri" w:hAnsi="Calibri" w:cs="Calibri"/>
                <w:sz w:val="20"/>
              </w:rPr>
            </w:pPr>
            <w:r w:rsidRPr="00E128D3">
              <w:rPr>
                <w:rFonts w:ascii="Calibri" w:hAnsi="Calibri" w:cs="Calibri"/>
                <w:sz w:val="20"/>
              </w:rPr>
              <w:t>Déspécialisation partielle ou totale</w:t>
            </w:r>
          </w:p>
        </w:tc>
      </w:tr>
      <w:tr w:rsidR="00E128D3" w:rsidRPr="00E128D3" w14:paraId="3B8A142D" w14:textId="77777777" w:rsidTr="00E128D3">
        <w:tc>
          <w:tcPr>
            <w:tcW w:w="0" w:type="auto"/>
            <w:hideMark/>
          </w:tcPr>
          <w:p w14:paraId="622E5E56" w14:textId="0D7E4F31" w:rsidR="00E128D3" w:rsidRPr="00E128D3" w:rsidRDefault="00E128D3" w:rsidP="00E128D3">
            <w:pPr>
              <w:jc w:val="left"/>
              <w:rPr>
                <w:rFonts w:ascii="Calibri" w:hAnsi="Calibri" w:cs="Calibri"/>
                <w:sz w:val="20"/>
              </w:rPr>
            </w:pPr>
            <w:r w:rsidRPr="00E128D3">
              <w:rPr>
                <w:rFonts w:ascii="Calibri" w:hAnsi="Calibri" w:cs="Calibri"/>
                <w:sz w:val="20"/>
              </w:rPr>
              <w:t>Loyer modifié</w:t>
            </w:r>
            <w:r w:rsidRPr="00E128D3">
              <w:rPr>
                <w:rFonts w:ascii="Calibri" w:hAnsi="Calibri" w:cs="Calibri"/>
                <w:sz w:val="20"/>
              </w:rPr>
              <w:t> ?</w:t>
            </w:r>
          </w:p>
        </w:tc>
        <w:tc>
          <w:tcPr>
            <w:tcW w:w="0" w:type="auto"/>
            <w:hideMark/>
          </w:tcPr>
          <w:p w14:paraId="27E5F238" w14:textId="77777777" w:rsidR="00E128D3" w:rsidRPr="00E128D3" w:rsidRDefault="00E128D3" w:rsidP="00E128D3">
            <w:pPr>
              <w:jc w:val="left"/>
              <w:rPr>
                <w:rFonts w:ascii="Calibri" w:hAnsi="Calibri" w:cs="Calibri"/>
                <w:sz w:val="20"/>
              </w:rPr>
            </w:pPr>
            <w:r w:rsidRPr="00E128D3">
              <w:rPr>
                <w:rFonts w:ascii="Calibri" w:hAnsi="Calibri" w:cs="Calibri"/>
                <w:sz w:val="20"/>
              </w:rPr>
              <w:t>Révision, indexation ou renouvellement</w:t>
            </w:r>
          </w:p>
        </w:tc>
      </w:tr>
      <w:tr w:rsidR="00E128D3" w:rsidRPr="00E128D3" w14:paraId="516A1661" w14:textId="77777777" w:rsidTr="00E128D3">
        <w:tc>
          <w:tcPr>
            <w:tcW w:w="0" w:type="auto"/>
            <w:hideMark/>
          </w:tcPr>
          <w:p w14:paraId="3B34E747" w14:textId="3477DBDB" w:rsidR="00E128D3" w:rsidRPr="00E128D3" w:rsidRDefault="00E128D3" w:rsidP="00E128D3">
            <w:pPr>
              <w:jc w:val="left"/>
              <w:rPr>
                <w:rFonts w:ascii="Calibri" w:hAnsi="Calibri" w:cs="Calibri"/>
                <w:sz w:val="20"/>
              </w:rPr>
            </w:pPr>
            <w:r w:rsidRPr="00E128D3">
              <w:rPr>
                <w:rFonts w:ascii="Calibri" w:hAnsi="Calibri" w:cs="Calibri"/>
                <w:sz w:val="20"/>
              </w:rPr>
              <w:t>Bail arrive à son terme</w:t>
            </w:r>
            <w:r w:rsidRPr="00E128D3">
              <w:rPr>
                <w:rFonts w:ascii="Calibri" w:hAnsi="Calibri" w:cs="Calibri"/>
                <w:sz w:val="20"/>
              </w:rPr>
              <w:t> ?</w:t>
            </w:r>
          </w:p>
        </w:tc>
        <w:tc>
          <w:tcPr>
            <w:tcW w:w="0" w:type="auto"/>
            <w:hideMark/>
          </w:tcPr>
          <w:p w14:paraId="77995BF7" w14:textId="77777777" w:rsidR="00E128D3" w:rsidRPr="00E128D3" w:rsidRDefault="00E128D3" w:rsidP="00E128D3">
            <w:pPr>
              <w:jc w:val="left"/>
              <w:rPr>
                <w:rFonts w:ascii="Calibri" w:hAnsi="Calibri" w:cs="Calibri"/>
                <w:sz w:val="20"/>
              </w:rPr>
            </w:pPr>
            <w:r w:rsidRPr="00E128D3">
              <w:rPr>
                <w:rFonts w:ascii="Calibri" w:hAnsi="Calibri" w:cs="Calibri"/>
                <w:sz w:val="20"/>
              </w:rPr>
              <w:t>Congé, renouvellement ou prolongation</w:t>
            </w:r>
          </w:p>
        </w:tc>
      </w:tr>
      <w:tr w:rsidR="00E128D3" w:rsidRPr="00E128D3" w14:paraId="2104257D" w14:textId="77777777" w:rsidTr="00E128D3">
        <w:tc>
          <w:tcPr>
            <w:tcW w:w="0" w:type="auto"/>
            <w:hideMark/>
          </w:tcPr>
          <w:p w14:paraId="6DE9669F" w14:textId="51E87A61" w:rsidR="00E128D3" w:rsidRPr="00E128D3" w:rsidRDefault="00E128D3" w:rsidP="00E128D3">
            <w:pPr>
              <w:jc w:val="left"/>
              <w:rPr>
                <w:rFonts w:ascii="Calibri" w:hAnsi="Calibri" w:cs="Calibri"/>
                <w:sz w:val="20"/>
              </w:rPr>
            </w:pPr>
            <w:r w:rsidRPr="00E128D3">
              <w:rPr>
                <w:rFonts w:ascii="Calibri" w:hAnsi="Calibri" w:cs="Calibri"/>
                <w:sz w:val="20"/>
              </w:rPr>
              <w:t>Bailleur refuse</w:t>
            </w:r>
            <w:r w:rsidRPr="00E128D3">
              <w:rPr>
                <w:rFonts w:ascii="Calibri" w:hAnsi="Calibri" w:cs="Calibri"/>
                <w:sz w:val="20"/>
              </w:rPr>
              <w:t> ?</w:t>
            </w:r>
          </w:p>
        </w:tc>
        <w:tc>
          <w:tcPr>
            <w:tcW w:w="0" w:type="auto"/>
            <w:hideMark/>
          </w:tcPr>
          <w:p w14:paraId="2E12C45E" w14:textId="77777777" w:rsidR="00E128D3" w:rsidRPr="00E128D3" w:rsidRDefault="00E128D3" w:rsidP="00E128D3">
            <w:pPr>
              <w:jc w:val="left"/>
              <w:rPr>
                <w:rFonts w:ascii="Calibri" w:hAnsi="Calibri" w:cs="Calibri"/>
                <w:sz w:val="20"/>
              </w:rPr>
            </w:pPr>
            <w:r w:rsidRPr="00E128D3">
              <w:rPr>
                <w:rFonts w:ascii="Calibri" w:hAnsi="Calibri" w:cs="Calibri"/>
                <w:sz w:val="20"/>
              </w:rPr>
              <w:t>Indemnité d’éviction ou exception légale</w:t>
            </w:r>
          </w:p>
        </w:tc>
      </w:tr>
      <w:tr w:rsidR="00E128D3" w:rsidRPr="00E128D3" w14:paraId="7EDCDB98" w14:textId="77777777" w:rsidTr="00E128D3">
        <w:tc>
          <w:tcPr>
            <w:tcW w:w="0" w:type="auto"/>
            <w:hideMark/>
          </w:tcPr>
          <w:p w14:paraId="371EEFFF" w14:textId="7BCA57E2" w:rsidR="00E128D3" w:rsidRPr="00E128D3" w:rsidRDefault="00E128D3" w:rsidP="00E128D3">
            <w:pPr>
              <w:jc w:val="left"/>
              <w:rPr>
                <w:rFonts w:ascii="Calibri" w:hAnsi="Calibri" w:cs="Calibri"/>
                <w:sz w:val="20"/>
              </w:rPr>
            </w:pPr>
            <w:r w:rsidRPr="00E128D3">
              <w:rPr>
                <w:rFonts w:ascii="Calibri" w:hAnsi="Calibri" w:cs="Calibri"/>
                <w:sz w:val="20"/>
              </w:rPr>
              <w:t>Fonds vendu</w:t>
            </w:r>
            <w:r w:rsidRPr="00E128D3">
              <w:rPr>
                <w:rFonts w:ascii="Calibri" w:hAnsi="Calibri" w:cs="Calibri"/>
                <w:sz w:val="20"/>
              </w:rPr>
              <w:t> ?</w:t>
            </w:r>
          </w:p>
        </w:tc>
        <w:tc>
          <w:tcPr>
            <w:tcW w:w="0" w:type="auto"/>
            <w:hideMark/>
          </w:tcPr>
          <w:p w14:paraId="38E9DD55" w14:textId="77777777" w:rsidR="00E128D3" w:rsidRPr="00E128D3" w:rsidRDefault="00E128D3" w:rsidP="00E128D3">
            <w:pPr>
              <w:jc w:val="left"/>
              <w:rPr>
                <w:rFonts w:ascii="Calibri" w:hAnsi="Calibri" w:cs="Calibri"/>
                <w:sz w:val="20"/>
              </w:rPr>
            </w:pPr>
            <w:r w:rsidRPr="00E128D3">
              <w:rPr>
                <w:rFonts w:ascii="Calibri" w:hAnsi="Calibri" w:cs="Calibri"/>
                <w:sz w:val="20"/>
              </w:rPr>
              <w:t>Sort du bail et clauses de cession</w:t>
            </w:r>
          </w:p>
        </w:tc>
      </w:tr>
      <w:tr w:rsidR="00E128D3" w:rsidRPr="00E128D3" w14:paraId="2E8AFEFD" w14:textId="77777777" w:rsidTr="00E128D3">
        <w:tc>
          <w:tcPr>
            <w:tcW w:w="0" w:type="auto"/>
            <w:hideMark/>
          </w:tcPr>
          <w:p w14:paraId="79E14EA0" w14:textId="6CC4FBBC" w:rsidR="00E128D3" w:rsidRPr="00E128D3" w:rsidRDefault="00E128D3" w:rsidP="00E128D3">
            <w:pPr>
              <w:jc w:val="left"/>
              <w:rPr>
                <w:rFonts w:ascii="Calibri" w:hAnsi="Calibri" w:cs="Calibri"/>
                <w:sz w:val="20"/>
              </w:rPr>
            </w:pPr>
            <w:r w:rsidRPr="00E128D3">
              <w:rPr>
                <w:rFonts w:ascii="Calibri" w:hAnsi="Calibri" w:cs="Calibri"/>
                <w:sz w:val="20"/>
              </w:rPr>
              <w:t>Impayés</w:t>
            </w:r>
            <w:r w:rsidRPr="00E128D3">
              <w:rPr>
                <w:rFonts w:ascii="Calibri" w:hAnsi="Calibri" w:cs="Calibri"/>
                <w:sz w:val="20"/>
              </w:rPr>
              <w:t> ?</w:t>
            </w:r>
          </w:p>
        </w:tc>
        <w:tc>
          <w:tcPr>
            <w:tcW w:w="0" w:type="auto"/>
            <w:hideMark/>
          </w:tcPr>
          <w:p w14:paraId="53924C6E" w14:textId="77777777" w:rsidR="00E128D3" w:rsidRPr="00E128D3" w:rsidRDefault="00E128D3" w:rsidP="00E128D3">
            <w:pPr>
              <w:jc w:val="left"/>
              <w:rPr>
                <w:rFonts w:ascii="Calibri" w:hAnsi="Calibri" w:cs="Calibri"/>
                <w:sz w:val="20"/>
              </w:rPr>
            </w:pPr>
            <w:r w:rsidRPr="00E128D3">
              <w:rPr>
                <w:rFonts w:ascii="Calibri" w:hAnsi="Calibri" w:cs="Calibri"/>
                <w:sz w:val="20"/>
              </w:rPr>
              <w:t>Clause résolutoire et procédure de L. 145-41</w:t>
            </w:r>
          </w:p>
        </w:tc>
      </w:tr>
    </w:tbl>
    <w:p w14:paraId="25650063" w14:textId="77777777" w:rsidR="00E128D3" w:rsidRPr="00E128D3" w:rsidRDefault="00E128D3" w:rsidP="00E128D3">
      <w:pPr>
        <w:pStyle w:val="Titre1"/>
      </w:pPr>
      <w:r w:rsidRPr="00E128D3">
        <w:t>40. Tableau général de synthèse</w:t>
      </w:r>
    </w:p>
    <w:tbl>
      <w:tblPr>
        <w:tblStyle w:val="Grilledutableau"/>
        <w:tblW w:w="0" w:type="auto"/>
        <w:tblLook w:val="04A0" w:firstRow="1" w:lastRow="0" w:firstColumn="1" w:lastColumn="0" w:noHBand="0" w:noVBand="1"/>
      </w:tblPr>
      <w:tblGrid>
        <w:gridCol w:w="2252"/>
        <w:gridCol w:w="5326"/>
      </w:tblGrid>
      <w:tr w:rsidR="00E128D3" w:rsidRPr="00E128D3" w14:paraId="6DC14300" w14:textId="77777777" w:rsidTr="00E128D3">
        <w:trPr>
          <w:tblHeader/>
        </w:trPr>
        <w:tc>
          <w:tcPr>
            <w:tcW w:w="0" w:type="auto"/>
            <w:hideMark/>
          </w:tcPr>
          <w:p w14:paraId="2ECC8C97"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Notion</w:t>
            </w:r>
          </w:p>
        </w:tc>
        <w:tc>
          <w:tcPr>
            <w:tcW w:w="0" w:type="auto"/>
            <w:hideMark/>
          </w:tcPr>
          <w:p w14:paraId="783A404A"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Règle essentielle</w:t>
            </w:r>
          </w:p>
        </w:tc>
      </w:tr>
      <w:tr w:rsidR="00E128D3" w:rsidRPr="00E128D3" w14:paraId="50847273" w14:textId="77777777" w:rsidTr="00E128D3">
        <w:tc>
          <w:tcPr>
            <w:tcW w:w="0" w:type="auto"/>
            <w:hideMark/>
          </w:tcPr>
          <w:p w14:paraId="2A345B66" w14:textId="77777777" w:rsidR="00E128D3" w:rsidRPr="00E128D3" w:rsidRDefault="00E128D3" w:rsidP="00E128D3">
            <w:pPr>
              <w:jc w:val="left"/>
              <w:rPr>
                <w:rFonts w:ascii="Calibri" w:hAnsi="Calibri" w:cs="Calibri"/>
                <w:sz w:val="20"/>
              </w:rPr>
            </w:pPr>
            <w:r w:rsidRPr="00E128D3">
              <w:rPr>
                <w:rFonts w:ascii="Calibri" w:hAnsi="Calibri" w:cs="Calibri"/>
                <w:sz w:val="20"/>
              </w:rPr>
              <w:t>Fonds de commerce</w:t>
            </w:r>
          </w:p>
        </w:tc>
        <w:tc>
          <w:tcPr>
            <w:tcW w:w="0" w:type="auto"/>
            <w:hideMark/>
          </w:tcPr>
          <w:p w14:paraId="35A33065" w14:textId="77777777" w:rsidR="00E128D3" w:rsidRPr="00E128D3" w:rsidRDefault="00E128D3" w:rsidP="00E128D3">
            <w:pPr>
              <w:jc w:val="left"/>
              <w:rPr>
                <w:rFonts w:ascii="Calibri" w:hAnsi="Calibri" w:cs="Calibri"/>
                <w:sz w:val="20"/>
              </w:rPr>
            </w:pPr>
            <w:r w:rsidRPr="00E128D3">
              <w:rPr>
                <w:rFonts w:ascii="Calibri" w:hAnsi="Calibri" w:cs="Calibri"/>
                <w:sz w:val="20"/>
              </w:rPr>
              <w:t>Ensemble d’éléments affectés à une exploitation commerciale</w:t>
            </w:r>
          </w:p>
        </w:tc>
      </w:tr>
      <w:tr w:rsidR="00E128D3" w:rsidRPr="00E128D3" w14:paraId="36325A47" w14:textId="77777777" w:rsidTr="00E128D3">
        <w:tc>
          <w:tcPr>
            <w:tcW w:w="0" w:type="auto"/>
            <w:hideMark/>
          </w:tcPr>
          <w:p w14:paraId="042784DE" w14:textId="77777777" w:rsidR="00E128D3" w:rsidRPr="00E128D3" w:rsidRDefault="00E128D3" w:rsidP="00E128D3">
            <w:pPr>
              <w:jc w:val="left"/>
              <w:rPr>
                <w:rFonts w:ascii="Calibri" w:hAnsi="Calibri" w:cs="Calibri"/>
                <w:sz w:val="20"/>
              </w:rPr>
            </w:pPr>
            <w:r w:rsidRPr="00E128D3">
              <w:rPr>
                <w:rFonts w:ascii="Calibri" w:hAnsi="Calibri" w:cs="Calibri"/>
                <w:sz w:val="20"/>
              </w:rPr>
              <w:t>Clientèle</w:t>
            </w:r>
          </w:p>
        </w:tc>
        <w:tc>
          <w:tcPr>
            <w:tcW w:w="0" w:type="auto"/>
            <w:hideMark/>
          </w:tcPr>
          <w:p w14:paraId="7B20D904" w14:textId="77777777" w:rsidR="00E128D3" w:rsidRPr="00E128D3" w:rsidRDefault="00E128D3" w:rsidP="00E128D3">
            <w:pPr>
              <w:jc w:val="left"/>
              <w:rPr>
                <w:rFonts w:ascii="Calibri" w:hAnsi="Calibri" w:cs="Calibri"/>
                <w:sz w:val="20"/>
              </w:rPr>
            </w:pPr>
            <w:r w:rsidRPr="00E128D3">
              <w:rPr>
                <w:rFonts w:ascii="Calibri" w:hAnsi="Calibri" w:cs="Calibri"/>
                <w:b/>
                <w:bCs/>
                <w:sz w:val="20"/>
              </w:rPr>
              <w:t>Élément indispensable</w:t>
            </w:r>
          </w:p>
        </w:tc>
      </w:tr>
      <w:tr w:rsidR="00E128D3" w:rsidRPr="00E128D3" w14:paraId="4D45D79E" w14:textId="77777777" w:rsidTr="00E128D3">
        <w:tc>
          <w:tcPr>
            <w:tcW w:w="0" w:type="auto"/>
            <w:hideMark/>
          </w:tcPr>
          <w:p w14:paraId="44BE17F4" w14:textId="77777777" w:rsidR="00E128D3" w:rsidRPr="00E128D3" w:rsidRDefault="00E128D3" w:rsidP="00E128D3">
            <w:pPr>
              <w:jc w:val="left"/>
              <w:rPr>
                <w:rFonts w:ascii="Calibri" w:hAnsi="Calibri" w:cs="Calibri"/>
                <w:sz w:val="20"/>
              </w:rPr>
            </w:pPr>
            <w:r w:rsidRPr="00E128D3">
              <w:rPr>
                <w:rFonts w:ascii="Calibri" w:hAnsi="Calibri" w:cs="Calibri"/>
                <w:sz w:val="20"/>
              </w:rPr>
              <w:t>Immeuble</w:t>
            </w:r>
          </w:p>
        </w:tc>
        <w:tc>
          <w:tcPr>
            <w:tcW w:w="0" w:type="auto"/>
            <w:hideMark/>
          </w:tcPr>
          <w:p w14:paraId="4BA9D464" w14:textId="77777777" w:rsidR="00E128D3" w:rsidRPr="00E128D3" w:rsidRDefault="00E128D3" w:rsidP="00E128D3">
            <w:pPr>
              <w:jc w:val="left"/>
              <w:rPr>
                <w:rFonts w:ascii="Calibri" w:hAnsi="Calibri" w:cs="Calibri"/>
                <w:sz w:val="20"/>
              </w:rPr>
            </w:pPr>
            <w:r w:rsidRPr="00E128D3">
              <w:rPr>
                <w:rFonts w:ascii="Calibri" w:hAnsi="Calibri" w:cs="Calibri"/>
                <w:sz w:val="20"/>
              </w:rPr>
              <w:t>Ne fait pas partie du fonds</w:t>
            </w:r>
          </w:p>
        </w:tc>
      </w:tr>
      <w:tr w:rsidR="00E128D3" w:rsidRPr="00E128D3" w14:paraId="504A6F8C" w14:textId="77777777" w:rsidTr="00E128D3">
        <w:tc>
          <w:tcPr>
            <w:tcW w:w="0" w:type="auto"/>
            <w:hideMark/>
          </w:tcPr>
          <w:p w14:paraId="0B6DB9B2" w14:textId="77777777" w:rsidR="00E128D3" w:rsidRPr="00E128D3" w:rsidRDefault="00E128D3" w:rsidP="00E128D3">
            <w:pPr>
              <w:jc w:val="left"/>
              <w:rPr>
                <w:rFonts w:ascii="Calibri" w:hAnsi="Calibri" w:cs="Calibri"/>
                <w:sz w:val="20"/>
              </w:rPr>
            </w:pPr>
            <w:r w:rsidRPr="00E128D3">
              <w:rPr>
                <w:rFonts w:ascii="Calibri" w:hAnsi="Calibri" w:cs="Calibri"/>
                <w:sz w:val="20"/>
              </w:rPr>
              <w:t>Éléments incorporels</w:t>
            </w:r>
          </w:p>
        </w:tc>
        <w:tc>
          <w:tcPr>
            <w:tcW w:w="0" w:type="auto"/>
            <w:hideMark/>
          </w:tcPr>
          <w:p w14:paraId="0B79875B" w14:textId="77777777" w:rsidR="00E128D3" w:rsidRPr="00E128D3" w:rsidRDefault="00E128D3" w:rsidP="00E128D3">
            <w:pPr>
              <w:jc w:val="left"/>
              <w:rPr>
                <w:rFonts w:ascii="Calibri" w:hAnsi="Calibri" w:cs="Calibri"/>
                <w:sz w:val="20"/>
              </w:rPr>
            </w:pPr>
            <w:r w:rsidRPr="00E128D3">
              <w:rPr>
                <w:rFonts w:ascii="Calibri" w:hAnsi="Calibri" w:cs="Calibri"/>
                <w:sz w:val="20"/>
              </w:rPr>
              <w:t>Clientèle, enseigne, nom, bail, propriété intellectuelle...</w:t>
            </w:r>
          </w:p>
        </w:tc>
      </w:tr>
      <w:tr w:rsidR="00E128D3" w:rsidRPr="00E128D3" w14:paraId="3C7DC132" w14:textId="77777777" w:rsidTr="00E128D3">
        <w:tc>
          <w:tcPr>
            <w:tcW w:w="0" w:type="auto"/>
            <w:hideMark/>
          </w:tcPr>
          <w:p w14:paraId="52A61E42" w14:textId="77777777" w:rsidR="00E128D3" w:rsidRPr="00E128D3" w:rsidRDefault="00E128D3" w:rsidP="00E128D3">
            <w:pPr>
              <w:jc w:val="left"/>
              <w:rPr>
                <w:rFonts w:ascii="Calibri" w:hAnsi="Calibri" w:cs="Calibri"/>
                <w:sz w:val="20"/>
              </w:rPr>
            </w:pPr>
            <w:r w:rsidRPr="00E128D3">
              <w:rPr>
                <w:rFonts w:ascii="Calibri" w:hAnsi="Calibri" w:cs="Calibri"/>
                <w:sz w:val="20"/>
              </w:rPr>
              <w:t>Éléments corporels</w:t>
            </w:r>
          </w:p>
        </w:tc>
        <w:tc>
          <w:tcPr>
            <w:tcW w:w="0" w:type="auto"/>
            <w:hideMark/>
          </w:tcPr>
          <w:p w14:paraId="49E39FFE" w14:textId="77777777" w:rsidR="00E128D3" w:rsidRPr="00E128D3" w:rsidRDefault="00E128D3" w:rsidP="00E128D3">
            <w:pPr>
              <w:jc w:val="left"/>
              <w:rPr>
                <w:rFonts w:ascii="Calibri" w:hAnsi="Calibri" w:cs="Calibri"/>
                <w:sz w:val="20"/>
              </w:rPr>
            </w:pPr>
            <w:r w:rsidRPr="00E128D3">
              <w:rPr>
                <w:rFonts w:ascii="Calibri" w:hAnsi="Calibri" w:cs="Calibri"/>
                <w:sz w:val="20"/>
              </w:rPr>
              <w:t>Matériel, mobilier, outillage, marchandises</w:t>
            </w:r>
          </w:p>
        </w:tc>
      </w:tr>
      <w:tr w:rsidR="00E128D3" w:rsidRPr="00E128D3" w14:paraId="32AB3B82" w14:textId="77777777" w:rsidTr="00E128D3">
        <w:tc>
          <w:tcPr>
            <w:tcW w:w="0" w:type="auto"/>
            <w:hideMark/>
          </w:tcPr>
          <w:p w14:paraId="3F69608C" w14:textId="77777777" w:rsidR="00E128D3" w:rsidRPr="00E128D3" w:rsidRDefault="00E128D3" w:rsidP="00E128D3">
            <w:pPr>
              <w:jc w:val="left"/>
              <w:rPr>
                <w:rFonts w:ascii="Calibri" w:hAnsi="Calibri" w:cs="Calibri"/>
                <w:sz w:val="20"/>
              </w:rPr>
            </w:pPr>
            <w:r w:rsidRPr="00E128D3">
              <w:rPr>
                <w:rFonts w:ascii="Calibri" w:hAnsi="Calibri" w:cs="Calibri"/>
                <w:sz w:val="20"/>
              </w:rPr>
              <w:t>Nantissement</w:t>
            </w:r>
          </w:p>
        </w:tc>
        <w:tc>
          <w:tcPr>
            <w:tcW w:w="0" w:type="auto"/>
            <w:hideMark/>
          </w:tcPr>
          <w:p w14:paraId="48A9BC57" w14:textId="77777777" w:rsidR="00E128D3" w:rsidRPr="00E128D3" w:rsidRDefault="00E128D3" w:rsidP="00E128D3">
            <w:pPr>
              <w:jc w:val="left"/>
              <w:rPr>
                <w:rFonts w:ascii="Calibri" w:hAnsi="Calibri" w:cs="Calibri"/>
                <w:sz w:val="20"/>
              </w:rPr>
            </w:pPr>
            <w:r w:rsidRPr="00E128D3">
              <w:rPr>
                <w:rFonts w:ascii="Calibri" w:hAnsi="Calibri" w:cs="Calibri"/>
                <w:sz w:val="20"/>
              </w:rPr>
              <w:t>Fonds utilisé comme garantie</w:t>
            </w:r>
          </w:p>
        </w:tc>
      </w:tr>
      <w:tr w:rsidR="00E128D3" w:rsidRPr="00E128D3" w14:paraId="168AA9A0" w14:textId="77777777" w:rsidTr="00E128D3">
        <w:tc>
          <w:tcPr>
            <w:tcW w:w="0" w:type="auto"/>
            <w:hideMark/>
          </w:tcPr>
          <w:p w14:paraId="6E16C543" w14:textId="77777777" w:rsidR="00E128D3" w:rsidRPr="00E128D3" w:rsidRDefault="00E128D3" w:rsidP="00E128D3">
            <w:pPr>
              <w:jc w:val="left"/>
              <w:rPr>
                <w:rFonts w:ascii="Calibri" w:hAnsi="Calibri" w:cs="Calibri"/>
                <w:sz w:val="20"/>
              </w:rPr>
            </w:pPr>
            <w:r w:rsidRPr="00E128D3">
              <w:rPr>
                <w:rFonts w:ascii="Calibri" w:hAnsi="Calibri" w:cs="Calibri"/>
                <w:sz w:val="20"/>
              </w:rPr>
              <w:t>Bail commercial</w:t>
            </w:r>
          </w:p>
        </w:tc>
        <w:tc>
          <w:tcPr>
            <w:tcW w:w="0" w:type="auto"/>
            <w:hideMark/>
          </w:tcPr>
          <w:p w14:paraId="7A9A8FC6" w14:textId="77777777" w:rsidR="00E128D3" w:rsidRPr="00E128D3" w:rsidRDefault="00E128D3" w:rsidP="00E128D3">
            <w:pPr>
              <w:jc w:val="left"/>
              <w:rPr>
                <w:rFonts w:ascii="Calibri" w:hAnsi="Calibri" w:cs="Calibri"/>
                <w:sz w:val="20"/>
              </w:rPr>
            </w:pPr>
            <w:r w:rsidRPr="00E128D3">
              <w:rPr>
                <w:rFonts w:ascii="Calibri" w:hAnsi="Calibri" w:cs="Calibri"/>
                <w:sz w:val="20"/>
              </w:rPr>
              <w:t>Protection du local où le fonds est exploité</w:t>
            </w:r>
          </w:p>
        </w:tc>
      </w:tr>
      <w:tr w:rsidR="00E128D3" w:rsidRPr="00E128D3" w14:paraId="103D2D8C" w14:textId="77777777" w:rsidTr="00E128D3">
        <w:tc>
          <w:tcPr>
            <w:tcW w:w="0" w:type="auto"/>
            <w:hideMark/>
          </w:tcPr>
          <w:p w14:paraId="609A1AFE" w14:textId="77777777" w:rsidR="00E128D3" w:rsidRPr="00E128D3" w:rsidRDefault="00E128D3" w:rsidP="00E128D3">
            <w:pPr>
              <w:jc w:val="left"/>
              <w:rPr>
                <w:rFonts w:ascii="Calibri" w:hAnsi="Calibri" w:cs="Calibri"/>
                <w:sz w:val="20"/>
              </w:rPr>
            </w:pPr>
            <w:r w:rsidRPr="00E128D3">
              <w:rPr>
                <w:rFonts w:ascii="Calibri" w:hAnsi="Calibri" w:cs="Calibri"/>
                <w:sz w:val="20"/>
              </w:rPr>
              <w:t>Durée</w:t>
            </w:r>
          </w:p>
        </w:tc>
        <w:tc>
          <w:tcPr>
            <w:tcW w:w="0" w:type="auto"/>
            <w:hideMark/>
          </w:tcPr>
          <w:p w14:paraId="130A6123" w14:textId="77777777" w:rsidR="00E128D3" w:rsidRPr="00E128D3" w:rsidRDefault="00E128D3" w:rsidP="00E128D3">
            <w:pPr>
              <w:jc w:val="left"/>
              <w:rPr>
                <w:rFonts w:ascii="Calibri" w:hAnsi="Calibri" w:cs="Calibri"/>
                <w:sz w:val="20"/>
              </w:rPr>
            </w:pPr>
            <w:r w:rsidRPr="00E128D3">
              <w:rPr>
                <w:rFonts w:ascii="Calibri" w:hAnsi="Calibri" w:cs="Calibri"/>
                <w:sz w:val="20"/>
              </w:rPr>
              <w:t>9 ans minimum</w:t>
            </w:r>
          </w:p>
        </w:tc>
      </w:tr>
      <w:tr w:rsidR="00E128D3" w:rsidRPr="00E128D3" w14:paraId="5D118B18" w14:textId="77777777" w:rsidTr="00E128D3">
        <w:tc>
          <w:tcPr>
            <w:tcW w:w="0" w:type="auto"/>
            <w:hideMark/>
          </w:tcPr>
          <w:p w14:paraId="1608FF52" w14:textId="77777777" w:rsidR="00E128D3" w:rsidRPr="00E128D3" w:rsidRDefault="00E128D3" w:rsidP="00E128D3">
            <w:pPr>
              <w:jc w:val="left"/>
              <w:rPr>
                <w:rFonts w:ascii="Calibri" w:hAnsi="Calibri" w:cs="Calibri"/>
                <w:sz w:val="20"/>
              </w:rPr>
            </w:pPr>
            <w:r w:rsidRPr="00E128D3">
              <w:rPr>
                <w:rFonts w:ascii="Calibri" w:hAnsi="Calibri" w:cs="Calibri"/>
                <w:sz w:val="20"/>
              </w:rPr>
              <w:t>Résiliation locataire</w:t>
            </w:r>
          </w:p>
        </w:tc>
        <w:tc>
          <w:tcPr>
            <w:tcW w:w="0" w:type="auto"/>
            <w:hideMark/>
          </w:tcPr>
          <w:p w14:paraId="7237ADC0" w14:textId="77777777" w:rsidR="00E128D3" w:rsidRPr="00E128D3" w:rsidRDefault="00E128D3" w:rsidP="00E128D3">
            <w:pPr>
              <w:jc w:val="left"/>
              <w:rPr>
                <w:rFonts w:ascii="Calibri" w:hAnsi="Calibri" w:cs="Calibri"/>
                <w:sz w:val="20"/>
              </w:rPr>
            </w:pPr>
            <w:r w:rsidRPr="00E128D3">
              <w:rPr>
                <w:rFonts w:ascii="Calibri" w:hAnsi="Calibri" w:cs="Calibri"/>
                <w:sz w:val="20"/>
              </w:rPr>
              <w:t>En principe tous les 3 ans</w:t>
            </w:r>
          </w:p>
        </w:tc>
      </w:tr>
      <w:tr w:rsidR="00E128D3" w:rsidRPr="00E128D3" w14:paraId="515DC46A" w14:textId="77777777" w:rsidTr="00E128D3">
        <w:tc>
          <w:tcPr>
            <w:tcW w:w="0" w:type="auto"/>
            <w:hideMark/>
          </w:tcPr>
          <w:p w14:paraId="05120ABD" w14:textId="77777777" w:rsidR="00E128D3" w:rsidRPr="00E128D3" w:rsidRDefault="00E128D3" w:rsidP="00E128D3">
            <w:pPr>
              <w:jc w:val="left"/>
              <w:rPr>
                <w:rFonts w:ascii="Calibri" w:hAnsi="Calibri" w:cs="Calibri"/>
                <w:sz w:val="20"/>
              </w:rPr>
            </w:pPr>
            <w:r w:rsidRPr="00E128D3">
              <w:rPr>
                <w:rFonts w:ascii="Calibri" w:hAnsi="Calibri" w:cs="Calibri"/>
                <w:sz w:val="20"/>
              </w:rPr>
              <w:t>Déspécialisation partielle</w:t>
            </w:r>
          </w:p>
        </w:tc>
        <w:tc>
          <w:tcPr>
            <w:tcW w:w="0" w:type="auto"/>
            <w:hideMark/>
          </w:tcPr>
          <w:p w14:paraId="2032A12B" w14:textId="77777777" w:rsidR="00E128D3" w:rsidRPr="00E128D3" w:rsidRDefault="00E128D3" w:rsidP="00E128D3">
            <w:pPr>
              <w:jc w:val="left"/>
              <w:rPr>
                <w:rFonts w:ascii="Calibri" w:hAnsi="Calibri" w:cs="Calibri"/>
                <w:sz w:val="20"/>
              </w:rPr>
            </w:pPr>
            <w:r w:rsidRPr="00E128D3">
              <w:rPr>
                <w:rFonts w:ascii="Calibri" w:hAnsi="Calibri" w:cs="Calibri"/>
                <w:sz w:val="20"/>
              </w:rPr>
              <w:t>Activités connexes ou complémentaires</w:t>
            </w:r>
          </w:p>
        </w:tc>
      </w:tr>
      <w:tr w:rsidR="00E128D3" w:rsidRPr="00E128D3" w14:paraId="40C76AF5" w14:textId="77777777" w:rsidTr="00E128D3">
        <w:tc>
          <w:tcPr>
            <w:tcW w:w="0" w:type="auto"/>
            <w:hideMark/>
          </w:tcPr>
          <w:p w14:paraId="1544EF87" w14:textId="77777777" w:rsidR="00E128D3" w:rsidRPr="00E128D3" w:rsidRDefault="00E128D3" w:rsidP="00E128D3">
            <w:pPr>
              <w:jc w:val="left"/>
              <w:rPr>
                <w:rFonts w:ascii="Calibri" w:hAnsi="Calibri" w:cs="Calibri"/>
                <w:sz w:val="20"/>
              </w:rPr>
            </w:pPr>
            <w:r w:rsidRPr="00E128D3">
              <w:rPr>
                <w:rFonts w:ascii="Calibri" w:hAnsi="Calibri" w:cs="Calibri"/>
                <w:sz w:val="20"/>
              </w:rPr>
              <w:t>Déspécialisation totale</w:t>
            </w:r>
          </w:p>
        </w:tc>
        <w:tc>
          <w:tcPr>
            <w:tcW w:w="0" w:type="auto"/>
            <w:hideMark/>
          </w:tcPr>
          <w:p w14:paraId="10A5B96E" w14:textId="77777777" w:rsidR="00E128D3" w:rsidRPr="00E128D3" w:rsidRDefault="00E128D3" w:rsidP="00E128D3">
            <w:pPr>
              <w:jc w:val="left"/>
              <w:rPr>
                <w:rFonts w:ascii="Calibri" w:hAnsi="Calibri" w:cs="Calibri"/>
                <w:sz w:val="20"/>
              </w:rPr>
            </w:pPr>
            <w:r w:rsidRPr="00E128D3">
              <w:rPr>
                <w:rFonts w:ascii="Calibri" w:hAnsi="Calibri" w:cs="Calibri"/>
                <w:sz w:val="20"/>
              </w:rPr>
              <w:t>Changement plus large sous conditions</w:t>
            </w:r>
          </w:p>
        </w:tc>
      </w:tr>
      <w:tr w:rsidR="00E128D3" w:rsidRPr="00E128D3" w14:paraId="07C8F36F" w14:textId="77777777" w:rsidTr="00E128D3">
        <w:tc>
          <w:tcPr>
            <w:tcW w:w="0" w:type="auto"/>
            <w:hideMark/>
          </w:tcPr>
          <w:p w14:paraId="3D5F031C" w14:textId="77777777" w:rsidR="00E128D3" w:rsidRPr="00E128D3" w:rsidRDefault="00E128D3" w:rsidP="00E128D3">
            <w:pPr>
              <w:jc w:val="left"/>
              <w:rPr>
                <w:rFonts w:ascii="Calibri" w:hAnsi="Calibri" w:cs="Calibri"/>
                <w:sz w:val="20"/>
              </w:rPr>
            </w:pPr>
            <w:r w:rsidRPr="00E128D3">
              <w:rPr>
                <w:rFonts w:ascii="Calibri" w:hAnsi="Calibri" w:cs="Calibri"/>
                <w:sz w:val="20"/>
              </w:rPr>
              <w:t>Renouvellement</w:t>
            </w:r>
          </w:p>
        </w:tc>
        <w:tc>
          <w:tcPr>
            <w:tcW w:w="0" w:type="auto"/>
            <w:hideMark/>
          </w:tcPr>
          <w:p w14:paraId="0107154E" w14:textId="77777777" w:rsidR="00E128D3" w:rsidRPr="00E128D3" w:rsidRDefault="00E128D3" w:rsidP="00E128D3">
            <w:pPr>
              <w:jc w:val="left"/>
              <w:rPr>
                <w:rFonts w:ascii="Calibri" w:hAnsi="Calibri" w:cs="Calibri"/>
                <w:sz w:val="20"/>
              </w:rPr>
            </w:pPr>
            <w:r w:rsidRPr="00E128D3">
              <w:rPr>
                <w:rFonts w:ascii="Calibri" w:hAnsi="Calibri" w:cs="Calibri"/>
                <w:sz w:val="20"/>
              </w:rPr>
              <w:t>Protection essentielle du locataire</w:t>
            </w:r>
          </w:p>
        </w:tc>
      </w:tr>
      <w:tr w:rsidR="00E128D3" w:rsidRPr="00E128D3" w14:paraId="44DD60CF" w14:textId="77777777" w:rsidTr="00E128D3">
        <w:tc>
          <w:tcPr>
            <w:tcW w:w="0" w:type="auto"/>
            <w:hideMark/>
          </w:tcPr>
          <w:p w14:paraId="432F8F3D" w14:textId="77777777" w:rsidR="00E128D3" w:rsidRPr="00E128D3" w:rsidRDefault="00E128D3" w:rsidP="00E128D3">
            <w:pPr>
              <w:jc w:val="left"/>
              <w:rPr>
                <w:rFonts w:ascii="Calibri" w:hAnsi="Calibri" w:cs="Calibri"/>
                <w:sz w:val="20"/>
              </w:rPr>
            </w:pPr>
            <w:r w:rsidRPr="00E128D3">
              <w:rPr>
                <w:rFonts w:ascii="Calibri" w:hAnsi="Calibri" w:cs="Calibri"/>
                <w:sz w:val="20"/>
              </w:rPr>
              <w:t>Exploitation préalable</w:t>
            </w:r>
          </w:p>
        </w:tc>
        <w:tc>
          <w:tcPr>
            <w:tcW w:w="0" w:type="auto"/>
            <w:hideMark/>
          </w:tcPr>
          <w:p w14:paraId="1296F90F" w14:textId="77777777" w:rsidR="00E128D3" w:rsidRPr="00E128D3" w:rsidRDefault="00E128D3" w:rsidP="00E128D3">
            <w:pPr>
              <w:jc w:val="left"/>
              <w:rPr>
                <w:rFonts w:ascii="Calibri" w:hAnsi="Calibri" w:cs="Calibri"/>
                <w:sz w:val="20"/>
              </w:rPr>
            </w:pPr>
            <w:r w:rsidRPr="00E128D3">
              <w:rPr>
                <w:rFonts w:ascii="Calibri" w:hAnsi="Calibri" w:cs="Calibri"/>
                <w:sz w:val="20"/>
              </w:rPr>
              <w:t>3 ans en principe pour invoquer le renouvellement</w:t>
            </w:r>
          </w:p>
        </w:tc>
      </w:tr>
      <w:tr w:rsidR="00E128D3" w:rsidRPr="00E128D3" w14:paraId="32B6A81E" w14:textId="77777777" w:rsidTr="00E128D3">
        <w:tc>
          <w:tcPr>
            <w:tcW w:w="0" w:type="auto"/>
            <w:hideMark/>
          </w:tcPr>
          <w:p w14:paraId="7BD7AD0D" w14:textId="77777777" w:rsidR="00E128D3" w:rsidRPr="00E128D3" w:rsidRDefault="00E128D3" w:rsidP="00E128D3">
            <w:pPr>
              <w:jc w:val="left"/>
              <w:rPr>
                <w:rFonts w:ascii="Calibri" w:hAnsi="Calibri" w:cs="Calibri"/>
                <w:sz w:val="20"/>
              </w:rPr>
            </w:pPr>
            <w:r w:rsidRPr="00E128D3">
              <w:rPr>
                <w:rFonts w:ascii="Calibri" w:hAnsi="Calibri" w:cs="Calibri"/>
                <w:sz w:val="20"/>
              </w:rPr>
              <w:t>Refus du bailleur</w:t>
            </w:r>
          </w:p>
        </w:tc>
        <w:tc>
          <w:tcPr>
            <w:tcW w:w="0" w:type="auto"/>
            <w:hideMark/>
          </w:tcPr>
          <w:p w14:paraId="1C16D358" w14:textId="77777777" w:rsidR="00E128D3" w:rsidRPr="00E128D3" w:rsidRDefault="00E128D3" w:rsidP="00E128D3">
            <w:pPr>
              <w:jc w:val="left"/>
              <w:rPr>
                <w:rFonts w:ascii="Calibri" w:hAnsi="Calibri" w:cs="Calibri"/>
                <w:sz w:val="20"/>
              </w:rPr>
            </w:pPr>
            <w:r w:rsidRPr="00E128D3">
              <w:rPr>
                <w:rFonts w:ascii="Calibri" w:hAnsi="Calibri" w:cs="Calibri"/>
                <w:sz w:val="20"/>
              </w:rPr>
              <w:t>Indemnité d’éviction en principe</w:t>
            </w:r>
          </w:p>
        </w:tc>
      </w:tr>
      <w:tr w:rsidR="00E128D3" w:rsidRPr="00E128D3" w14:paraId="7DE9101E" w14:textId="77777777" w:rsidTr="00E128D3">
        <w:tc>
          <w:tcPr>
            <w:tcW w:w="0" w:type="auto"/>
            <w:hideMark/>
          </w:tcPr>
          <w:p w14:paraId="245C55E0" w14:textId="77777777" w:rsidR="00E128D3" w:rsidRPr="00E128D3" w:rsidRDefault="00E128D3" w:rsidP="00E128D3">
            <w:pPr>
              <w:jc w:val="left"/>
              <w:rPr>
                <w:rFonts w:ascii="Calibri" w:hAnsi="Calibri" w:cs="Calibri"/>
                <w:sz w:val="20"/>
              </w:rPr>
            </w:pPr>
            <w:r w:rsidRPr="00E128D3">
              <w:rPr>
                <w:rFonts w:ascii="Calibri" w:hAnsi="Calibri" w:cs="Calibri"/>
                <w:sz w:val="20"/>
              </w:rPr>
              <w:t>Cession avec le fonds</w:t>
            </w:r>
          </w:p>
        </w:tc>
        <w:tc>
          <w:tcPr>
            <w:tcW w:w="0" w:type="auto"/>
            <w:hideMark/>
          </w:tcPr>
          <w:p w14:paraId="05573717" w14:textId="77777777" w:rsidR="00E128D3" w:rsidRPr="00E128D3" w:rsidRDefault="00E128D3" w:rsidP="00E128D3">
            <w:pPr>
              <w:jc w:val="left"/>
              <w:rPr>
                <w:rFonts w:ascii="Calibri" w:hAnsi="Calibri" w:cs="Calibri"/>
                <w:sz w:val="20"/>
              </w:rPr>
            </w:pPr>
            <w:r w:rsidRPr="00E128D3">
              <w:rPr>
                <w:rFonts w:ascii="Calibri" w:hAnsi="Calibri" w:cs="Calibri"/>
                <w:sz w:val="20"/>
              </w:rPr>
              <w:t>Interdiction générale de céder au repreneur réputée non écrite</w:t>
            </w:r>
          </w:p>
        </w:tc>
      </w:tr>
      <w:tr w:rsidR="00E128D3" w:rsidRPr="00E128D3" w14:paraId="19794A7E" w14:textId="77777777" w:rsidTr="00E128D3">
        <w:tc>
          <w:tcPr>
            <w:tcW w:w="0" w:type="auto"/>
            <w:hideMark/>
          </w:tcPr>
          <w:p w14:paraId="711C59E3" w14:textId="77777777" w:rsidR="00E128D3" w:rsidRPr="00E128D3" w:rsidRDefault="00E128D3" w:rsidP="00E128D3">
            <w:pPr>
              <w:jc w:val="left"/>
              <w:rPr>
                <w:rFonts w:ascii="Calibri" w:hAnsi="Calibri" w:cs="Calibri"/>
                <w:sz w:val="20"/>
              </w:rPr>
            </w:pPr>
            <w:r w:rsidRPr="00E128D3">
              <w:rPr>
                <w:rFonts w:ascii="Calibri" w:hAnsi="Calibri" w:cs="Calibri"/>
                <w:sz w:val="20"/>
              </w:rPr>
              <w:t>Garantie du cédant</w:t>
            </w:r>
          </w:p>
        </w:tc>
        <w:tc>
          <w:tcPr>
            <w:tcW w:w="0" w:type="auto"/>
            <w:hideMark/>
          </w:tcPr>
          <w:p w14:paraId="67B15791" w14:textId="77777777" w:rsidR="00E128D3" w:rsidRPr="00E128D3" w:rsidRDefault="00E128D3" w:rsidP="00E128D3">
            <w:pPr>
              <w:jc w:val="left"/>
              <w:rPr>
                <w:rFonts w:ascii="Calibri" w:hAnsi="Calibri" w:cs="Calibri"/>
                <w:sz w:val="20"/>
              </w:rPr>
            </w:pPr>
            <w:r w:rsidRPr="00E128D3">
              <w:rPr>
                <w:rFonts w:ascii="Calibri" w:hAnsi="Calibri" w:cs="Calibri"/>
                <w:sz w:val="20"/>
              </w:rPr>
              <w:t>3 ans maximum</w:t>
            </w:r>
          </w:p>
        </w:tc>
      </w:tr>
      <w:tr w:rsidR="00E128D3" w:rsidRPr="00E128D3" w14:paraId="7FC7122C" w14:textId="77777777" w:rsidTr="00E128D3">
        <w:tc>
          <w:tcPr>
            <w:tcW w:w="0" w:type="auto"/>
            <w:hideMark/>
          </w:tcPr>
          <w:p w14:paraId="5D2B7E11" w14:textId="77777777" w:rsidR="00E128D3" w:rsidRPr="00E128D3" w:rsidRDefault="00E128D3" w:rsidP="00E128D3">
            <w:pPr>
              <w:jc w:val="left"/>
              <w:rPr>
                <w:rFonts w:ascii="Calibri" w:hAnsi="Calibri" w:cs="Calibri"/>
                <w:sz w:val="20"/>
              </w:rPr>
            </w:pPr>
            <w:r w:rsidRPr="00E128D3">
              <w:rPr>
                <w:rFonts w:ascii="Calibri" w:hAnsi="Calibri" w:cs="Calibri"/>
                <w:sz w:val="20"/>
              </w:rPr>
              <w:t>Clause résolutoire</w:t>
            </w:r>
          </w:p>
        </w:tc>
        <w:tc>
          <w:tcPr>
            <w:tcW w:w="0" w:type="auto"/>
            <w:hideMark/>
          </w:tcPr>
          <w:p w14:paraId="68903827" w14:textId="77777777" w:rsidR="00E128D3" w:rsidRPr="00E128D3" w:rsidRDefault="00E128D3" w:rsidP="00E128D3">
            <w:pPr>
              <w:jc w:val="left"/>
              <w:rPr>
                <w:rFonts w:ascii="Calibri" w:hAnsi="Calibri" w:cs="Calibri"/>
                <w:sz w:val="20"/>
              </w:rPr>
            </w:pPr>
            <w:r w:rsidRPr="00E128D3">
              <w:rPr>
                <w:rFonts w:ascii="Calibri" w:hAnsi="Calibri" w:cs="Calibri"/>
                <w:sz w:val="20"/>
              </w:rPr>
              <w:t>Effet après commandement resté infructueux pendant 1 mois</w:t>
            </w:r>
          </w:p>
        </w:tc>
      </w:tr>
      <w:tr w:rsidR="00E128D3" w:rsidRPr="00E128D3" w14:paraId="1409039D" w14:textId="77777777" w:rsidTr="00E128D3">
        <w:tc>
          <w:tcPr>
            <w:tcW w:w="0" w:type="auto"/>
            <w:hideMark/>
          </w:tcPr>
          <w:p w14:paraId="1311124E" w14:textId="77777777" w:rsidR="00E128D3" w:rsidRPr="00E128D3" w:rsidRDefault="00E128D3" w:rsidP="00E128D3">
            <w:pPr>
              <w:jc w:val="left"/>
              <w:rPr>
                <w:rFonts w:ascii="Calibri" w:hAnsi="Calibri" w:cs="Calibri"/>
                <w:sz w:val="20"/>
              </w:rPr>
            </w:pPr>
            <w:r w:rsidRPr="00E128D3">
              <w:rPr>
                <w:rFonts w:ascii="Calibri" w:hAnsi="Calibri" w:cs="Calibri"/>
                <w:sz w:val="20"/>
              </w:rPr>
              <w:t>Mensualisation 2026</w:t>
            </w:r>
          </w:p>
        </w:tc>
        <w:tc>
          <w:tcPr>
            <w:tcW w:w="0" w:type="auto"/>
            <w:hideMark/>
          </w:tcPr>
          <w:p w14:paraId="10F7F89B" w14:textId="77777777" w:rsidR="00E128D3" w:rsidRPr="00E128D3" w:rsidRDefault="00E128D3" w:rsidP="00E128D3">
            <w:pPr>
              <w:jc w:val="left"/>
              <w:rPr>
                <w:rFonts w:ascii="Calibri" w:hAnsi="Calibri" w:cs="Calibri"/>
                <w:sz w:val="20"/>
              </w:rPr>
            </w:pPr>
            <w:r w:rsidRPr="00E128D3">
              <w:rPr>
                <w:rFonts w:ascii="Calibri" w:hAnsi="Calibri" w:cs="Calibri"/>
                <w:sz w:val="20"/>
              </w:rPr>
              <w:t>Droit pour certains locataires remplissant les conditions</w:t>
            </w:r>
          </w:p>
        </w:tc>
      </w:tr>
      <w:tr w:rsidR="00E128D3" w:rsidRPr="00E128D3" w14:paraId="17E54AA6" w14:textId="77777777" w:rsidTr="00E128D3">
        <w:tc>
          <w:tcPr>
            <w:tcW w:w="0" w:type="auto"/>
            <w:hideMark/>
          </w:tcPr>
          <w:p w14:paraId="38DC6571" w14:textId="77777777" w:rsidR="00E128D3" w:rsidRPr="00E128D3" w:rsidRDefault="00E128D3" w:rsidP="00E128D3">
            <w:pPr>
              <w:jc w:val="left"/>
              <w:rPr>
                <w:rFonts w:ascii="Calibri" w:hAnsi="Calibri" w:cs="Calibri"/>
                <w:sz w:val="20"/>
              </w:rPr>
            </w:pPr>
            <w:r w:rsidRPr="00E128D3">
              <w:rPr>
                <w:rFonts w:ascii="Calibri" w:hAnsi="Calibri" w:cs="Calibri"/>
                <w:sz w:val="20"/>
              </w:rPr>
              <w:t>Garantie locative 2026</w:t>
            </w:r>
          </w:p>
        </w:tc>
        <w:tc>
          <w:tcPr>
            <w:tcW w:w="0" w:type="auto"/>
            <w:hideMark/>
          </w:tcPr>
          <w:p w14:paraId="7A2C7DDC" w14:textId="77777777" w:rsidR="00E128D3" w:rsidRPr="00E128D3" w:rsidRDefault="00E128D3" w:rsidP="00E128D3">
            <w:pPr>
              <w:jc w:val="left"/>
              <w:rPr>
                <w:rFonts w:ascii="Calibri" w:hAnsi="Calibri" w:cs="Calibri"/>
                <w:sz w:val="20"/>
              </w:rPr>
            </w:pPr>
            <w:r w:rsidRPr="00E128D3">
              <w:rPr>
                <w:rFonts w:ascii="Calibri" w:hAnsi="Calibri" w:cs="Calibri"/>
                <w:sz w:val="20"/>
              </w:rPr>
              <w:t>Restitution au plus tard sous 3 mois selon conditions</w:t>
            </w:r>
          </w:p>
        </w:tc>
      </w:tr>
    </w:tbl>
    <w:p w14:paraId="526D812B" w14:textId="77777777" w:rsidR="00E128D3" w:rsidRPr="00E128D3" w:rsidRDefault="00E128D3" w:rsidP="00E128D3">
      <w:pPr>
        <w:pStyle w:val="Titre1"/>
      </w:pPr>
      <w:r w:rsidRPr="00E128D3">
        <w:t>41. Points essentiels</w:t>
      </w:r>
    </w:p>
    <w:p w14:paraId="4E0137AC" w14:textId="77777777" w:rsidR="00E128D3" w:rsidRPr="00E128D3" w:rsidRDefault="00E128D3">
      <w:pPr>
        <w:numPr>
          <w:ilvl w:val="0"/>
          <w:numId w:val="35"/>
        </w:numPr>
        <w:spacing w:after="0" w:line="240" w:lineRule="auto"/>
      </w:pPr>
      <w:r w:rsidRPr="00E128D3">
        <w:t>Le fonds de commerce est distinct de la personne du commerçant et de son patrimoine.</w:t>
      </w:r>
    </w:p>
    <w:p w14:paraId="1FC18E4A" w14:textId="77777777" w:rsidR="00E128D3" w:rsidRPr="00E128D3" w:rsidRDefault="00E128D3">
      <w:pPr>
        <w:numPr>
          <w:ilvl w:val="0"/>
          <w:numId w:val="35"/>
        </w:numPr>
        <w:spacing w:after="0" w:line="240" w:lineRule="auto"/>
      </w:pPr>
      <w:r w:rsidRPr="00E128D3">
        <w:t>Il constitue un ensemble d’éléments affectés à l’exploitation.</w:t>
      </w:r>
    </w:p>
    <w:p w14:paraId="5F7C6753" w14:textId="77777777" w:rsidR="00E128D3" w:rsidRPr="00E128D3" w:rsidRDefault="00E128D3">
      <w:pPr>
        <w:numPr>
          <w:ilvl w:val="0"/>
          <w:numId w:val="35"/>
        </w:numPr>
        <w:spacing w:after="0" w:line="240" w:lineRule="auto"/>
      </w:pPr>
      <w:r w:rsidRPr="00E128D3">
        <w:t xml:space="preserve">La </w:t>
      </w:r>
      <w:r w:rsidRPr="00E128D3">
        <w:rPr>
          <w:b/>
          <w:bCs/>
        </w:rPr>
        <w:t>clientèle propre est indispensable</w:t>
      </w:r>
      <w:r w:rsidRPr="00E128D3">
        <w:t xml:space="preserve"> à son existence.</w:t>
      </w:r>
    </w:p>
    <w:p w14:paraId="4294CF11" w14:textId="77777777" w:rsidR="00E128D3" w:rsidRPr="00E128D3" w:rsidRDefault="00E128D3">
      <w:pPr>
        <w:numPr>
          <w:ilvl w:val="0"/>
          <w:numId w:val="35"/>
        </w:numPr>
        <w:spacing w:after="0" w:line="240" w:lineRule="auto"/>
      </w:pPr>
      <w:r w:rsidRPr="00E128D3">
        <w:t>Il comprend des éléments corporels et incorporels.</w:t>
      </w:r>
    </w:p>
    <w:p w14:paraId="61D898F0" w14:textId="77777777" w:rsidR="00E128D3" w:rsidRPr="00E128D3" w:rsidRDefault="00E128D3">
      <w:pPr>
        <w:numPr>
          <w:ilvl w:val="0"/>
          <w:numId w:val="35"/>
        </w:numPr>
        <w:spacing w:after="0" w:line="240" w:lineRule="auto"/>
      </w:pPr>
      <w:r w:rsidRPr="00E128D3">
        <w:t>L’immeuble ne fait pas partie du fonds.</w:t>
      </w:r>
    </w:p>
    <w:p w14:paraId="4D702041" w14:textId="77777777" w:rsidR="00E128D3" w:rsidRPr="00E128D3" w:rsidRDefault="00E128D3">
      <w:pPr>
        <w:numPr>
          <w:ilvl w:val="0"/>
          <w:numId w:val="35"/>
        </w:numPr>
        <w:spacing w:after="0" w:line="240" w:lineRule="auto"/>
      </w:pPr>
      <w:r w:rsidRPr="00E128D3">
        <w:t>Le droit au bail peut constituer l’un de ses éléments les plus importants.</w:t>
      </w:r>
    </w:p>
    <w:p w14:paraId="61923B1F" w14:textId="77777777" w:rsidR="00E128D3" w:rsidRPr="00E128D3" w:rsidRDefault="00E128D3">
      <w:pPr>
        <w:numPr>
          <w:ilvl w:val="0"/>
          <w:numId w:val="35"/>
        </w:numPr>
        <w:spacing w:after="0" w:line="240" w:lineRule="auto"/>
      </w:pPr>
      <w:r w:rsidRPr="00E128D3">
        <w:t>Le fonds peut être vendu, apporté ou nanti.</w:t>
      </w:r>
    </w:p>
    <w:p w14:paraId="41F3087A" w14:textId="77777777" w:rsidR="00E128D3" w:rsidRPr="00E128D3" w:rsidRDefault="00E128D3">
      <w:pPr>
        <w:numPr>
          <w:ilvl w:val="0"/>
          <w:numId w:val="35"/>
        </w:numPr>
        <w:spacing w:after="0" w:line="240" w:lineRule="auto"/>
      </w:pPr>
      <w:r w:rsidRPr="00E128D3">
        <w:t>Depuis 2026, l’information préalable des salariés en cas de vente du fonds a été réformée.</w:t>
      </w:r>
    </w:p>
    <w:p w14:paraId="2398FF99" w14:textId="77777777" w:rsidR="00E128D3" w:rsidRPr="00E128D3" w:rsidRDefault="00E128D3">
      <w:pPr>
        <w:numPr>
          <w:ilvl w:val="0"/>
          <w:numId w:val="35"/>
        </w:numPr>
        <w:spacing w:after="0" w:line="240" w:lineRule="auto"/>
      </w:pPr>
      <w:r w:rsidRPr="00E128D3">
        <w:t>Le bail commercial protège la stabilité de l’exploitation du fonds.</w:t>
      </w:r>
    </w:p>
    <w:p w14:paraId="3F924ACD" w14:textId="77777777" w:rsidR="00E128D3" w:rsidRPr="00E128D3" w:rsidRDefault="00E128D3">
      <w:pPr>
        <w:numPr>
          <w:ilvl w:val="0"/>
          <w:numId w:val="35"/>
        </w:numPr>
        <w:spacing w:after="0" w:line="240" w:lineRule="auto"/>
      </w:pPr>
      <w:r w:rsidRPr="00E128D3">
        <w:t xml:space="preserve">Sa durée est d’au moins </w:t>
      </w:r>
      <w:r w:rsidRPr="00E128D3">
        <w:rPr>
          <w:b/>
          <w:bCs/>
        </w:rPr>
        <w:t>neuf ans</w:t>
      </w:r>
      <w:r w:rsidRPr="00E128D3">
        <w:t>.</w:t>
      </w:r>
    </w:p>
    <w:p w14:paraId="6A4C797B" w14:textId="77777777" w:rsidR="00E128D3" w:rsidRPr="00E128D3" w:rsidRDefault="00E128D3">
      <w:pPr>
        <w:numPr>
          <w:ilvl w:val="0"/>
          <w:numId w:val="35"/>
        </w:numPr>
        <w:spacing w:after="0" w:line="240" w:lineRule="auto"/>
      </w:pPr>
      <w:r w:rsidRPr="00E128D3">
        <w:t>Le locataire peut en principe résilier à chaque échéance triennale.</w:t>
      </w:r>
    </w:p>
    <w:p w14:paraId="12DD49D0" w14:textId="77777777" w:rsidR="00E128D3" w:rsidRPr="00E128D3" w:rsidRDefault="00E128D3">
      <w:pPr>
        <w:numPr>
          <w:ilvl w:val="0"/>
          <w:numId w:val="35"/>
        </w:numPr>
        <w:spacing w:after="0" w:line="240" w:lineRule="auto"/>
      </w:pPr>
      <w:r w:rsidRPr="00E128D3">
        <w:t>Le loyer initial est librement convenu mais sa révision et son renouvellement sont encadrés.</w:t>
      </w:r>
    </w:p>
    <w:p w14:paraId="4E657A24" w14:textId="77777777" w:rsidR="00E128D3" w:rsidRPr="00E128D3" w:rsidRDefault="00E128D3">
      <w:pPr>
        <w:numPr>
          <w:ilvl w:val="0"/>
          <w:numId w:val="35"/>
        </w:numPr>
        <w:spacing w:after="0" w:line="240" w:lineRule="auto"/>
      </w:pPr>
      <w:r w:rsidRPr="00E128D3">
        <w:t xml:space="preserve">Depuis mai 2026, certains locataires peuvent obtenir la </w:t>
      </w:r>
      <w:r w:rsidRPr="00E128D3">
        <w:rPr>
          <w:b/>
          <w:bCs/>
        </w:rPr>
        <w:t>mensualisation</w:t>
      </w:r>
      <w:r w:rsidRPr="00E128D3">
        <w:t xml:space="preserve"> de leur loyer.</w:t>
      </w:r>
    </w:p>
    <w:p w14:paraId="260B9F28" w14:textId="77777777" w:rsidR="00E128D3" w:rsidRPr="00E128D3" w:rsidRDefault="00E128D3">
      <w:pPr>
        <w:numPr>
          <w:ilvl w:val="0"/>
          <w:numId w:val="35"/>
        </w:numPr>
        <w:spacing w:after="0" w:line="240" w:lineRule="auto"/>
      </w:pPr>
      <w:r w:rsidRPr="00E128D3">
        <w:t>Le bail doit identifier précisément la répartition des charges, impôts, taxes et redevances.</w:t>
      </w:r>
    </w:p>
    <w:p w14:paraId="26E58079" w14:textId="77777777" w:rsidR="00E128D3" w:rsidRPr="00E128D3" w:rsidRDefault="00E128D3">
      <w:pPr>
        <w:numPr>
          <w:ilvl w:val="0"/>
          <w:numId w:val="35"/>
        </w:numPr>
        <w:spacing w:after="0" w:line="240" w:lineRule="auto"/>
      </w:pPr>
      <w:r w:rsidRPr="00E128D3">
        <w:t>L’activité exercée doit respecter la destination prévue.</w:t>
      </w:r>
    </w:p>
    <w:p w14:paraId="4D7E6B9C" w14:textId="77777777" w:rsidR="00E128D3" w:rsidRPr="00E128D3" w:rsidRDefault="00E128D3">
      <w:pPr>
        <w:numPr>
          <w:ilvl w:val="0"/>
          <w:numId w:val="35"/>
        </w:numPr>
        <w:spacing w:after="0" w:line="240" w:lineRule="auto"/>
      </w:pPr>
      <w:r w:rsidRPr="00E128D3">
        <w:t xml:space="preserve">La </w:t>
      </w:r>
      <w:r w:rsidRPr="00E128D3">
        <w:rPr>
          <w:b/>
          <w:bCs/>
        </w:rPr>
        <w:t>déspécialisation partielle</w:t>
      </w:r>
      <w:r w:rsidRPr="00E128D3">
        <w:t xml:space="preserve"> permet l’adjonction d’activités connexes ou complémentaires.</w:t>
      </w:r>
    </w:p>
    <w:p w14:paraId="05F32EB8" w14:textId="77777777" w:rsidR="00E128D3" w:rsidRPr="00E128D3" w:rsidRDefault="00E128D3">
      <w:pPr>
        <w:numPr>
          <w:ilvl w:val="0"/>
          <w:numId w:val="35"/>
        </w:numPr>
        <w:spacing w:after="0" w:line="240" w:lineRule="auto"/>
      </w:pPr>
      <w:r w:rsidRPr="00E128D3">
        <w:t xml:space="preserve">La </w:t>
      </w:r>
      <w:r w:rsidRPr="00E128D3">
        <w:rPr>
          <w:b/>
          <w:bCs/>
        </w:rPr>
        <w:t>déspécialisation totale</w:t>
      </w:r>
      <w:r w:rsidRPr="00E128D3">
        <w:t xml:space="preserve"> permet, sous conditions, un changement plus important d’activité.</w:t>
      </w:r>
    </w:p>
    <w:p w14:paraId="5D5403A9" w14:textId="77777777" w:rsidR="00E128D3" w:rsidRPr="00E128D3" w:rsidRDefault="00E128D3">
      <w:pPr>
        <w:numPr>
          <w:ilvl w:val="0"/>
          <w:numId w:val="35"/>
        </w:numPr>
        <w:spacing w:after="0" w:line="240" w:lineRule="auto"/>
      </w:pPr>
      <w:r w:rsidRPr="00E128D3">
        <w:t>Le droit au renouvellement appartient au propriétaire du fonds exploitant les lieux et suppose en principe une exploitation effective pendant les trois années précédentes.</w:t>
      </w:r>
    </w:p>
    <w:p w14:paraId="7B1D5AC9" w14:textId="77777777" w:rsidR="00E128D3" w:rsidRPr="00E128D3" w:rsidRDefault="00E128D3">
      <w:pPr>
        <w:numPr>
          <w:ilvl w:val="0"/>
          <w:numId w:val="35"/>
        </w:numPr>
        <w:spacing w:after="0" w:line="240" w:lineRule="auto"/>
      </w:pPr>
      <w:r w:rsidRPr="00E128D3">
        <w:t>À défaut de congé ou de demande de renouvellement, le bail se prolonge au-delà de son terme.</w:t>
      </w:r>
    </w:p>
    <w:p w14:paraId="3030BC8B" w14:textId="77777777" w:rsidR="00E128D3" w:rsidRPr="00E128D3" w:rsidRDefault="00E128D3">
      <w:pPr>
        <w:numPr>
          <w:ilvl w:val="0"/>
          <w:numId w:val="35"/>
        </w:numPr>
        <w:spacing w:after="0" w:line="240" w:lineRule="auto"/>
      </w:pPr>
      <w:r w:rsidRPr="00E128D3">
        <w:t>Le bail renouvelé est normalement conclu pour neuf ans.</w:t>
      </w:r>
    </w:p>
    <w:p w14:paraId="58BDED26" w14:textId="77777777" w:rsidR="00E128D3" w:rsidRPr="00E128D3" w:rsidRDefault="00E128D3">
      <w:pPr>
        <w:numPr>
          <w:ilvl w:val="0"/>
          <w:numId w:val="35"/>
        </w:numPr>
        <w:spacing w:after="0" w:line="240" w:lineRule="auto"/>
      </w:pPr>
      <w:r w:rsidRPr="00E128D3">
        <w:t xml:space="preserve">Le bailleur peut refuser le renouvellement mais doit en principe payer une </w:t>
      </w:r>
      <w:r w:rsidRPr="00E128D3">
        <w:rPr>
          <w:b/>
          <w:bCs/>
        </w:rPr>
        <w:t>indemnité d’éviction</w:t>
      </w:r>
      <w:r w:rsidRPr="00E128D3">
        <w:t>.</w:t>
      </w:r>
    </w:p>
    <w:p w14:paraId="093F9DAE" w14:textId="77777777" w:rsidR="00E128D3" w:rsidRPr="00E128D3" w:rsidRDefault="00E128D3">
      <w:pPr>
        <w:numPr>
          <w:ilvl w:val="0"/>
          <w:numId w:val="35"/>
        </w:numPr>
        <w:spacing w:after="0" w:line="240" w:lineRule="auto"/>
      </w:pPr>
      <w:r w:rsidRPr="00E128D3">
        <w:t>Un refus sans indemnité n’est possible que dans les hypothèses prévues par la loi.</w:t>
      </w:r>
    </w:p>
    <w:p w14:paraId="6890CBA3" w14:textId="77777777" w:rsidR="00E128D3" w:rsidRPr="00E128D3" w:rsidRDefault="00E128D3">
      <w:pPr>
        <w:numPr>
          <w:ilvl w:val="0"/>
          <w:numId w:val="35"/>
        </w:numPr>
        <w:spacing w:after="0" w:line="240" w:lineRule="auto"/>
      </w:pPr>
      <w:r w:rsidRPr="00E128D3">
        <w:t>Une clause ne peut interdire au locataire de transmettre son bail au repreneur de son fonds dans les conditions de l’article L. 145-16.</w:t>
      </w:r>
    </w:p>
    <w:p w14:paraId="15E12B99" w14:textId="77777777" w:rsidR="00E128D3" w:rsidRPr="00E128D3" w:rsidRDefault="00E128D3">
      <w:pPr>
        <w:numPr>
          <w:ilvl w:val="0"/>
          <w:numId w:val="35"/>
        </w:numPr>
        <w:spacing w:after="0" w:line="240" w:lineRule="auto"/>
      </w:pPr>
      <w:r w:rsidRPr="00E128D3">
        <w:t>La garantie du cédant ne peut être invoquée que pendant trois ans.</w:t>
      </w:r>
    </w:p>
    <w:p w14:paraId="7A5237F6" w14:textId="77777777" w:rsidR="00E128D3" w:rsidRPr="00E128D3" w:rsidRDefault="00E128D3">
      <w:pPr>
        <w:numPr>
          <w:ilvl w:val="0"/>
          <w:numId w:val="35"/>
        </w:numPr>
        <w:spacing w:after="0" w:line="240" w:lineRule="auto"/>
      </w:pPr>
      <w:r w:rsidRPr="00E128D3">
        <w:t>La sous-location est juridiquement différente de la cession.</w:t>
      </w:r>
    </w:p>
    <w:p w14:paraId="3F39DF17" w14:textId="77777777" w:rsidR="00E128D3" w:rsidRPr="00E128D3" w:rsidRDefault="00E128D3">
      <w:pPr>
        <w:numPr>
          <w:ilvl w:val="0"/>
          <w:numId w:val="35"/>
        </w:numPr>
        <w:spacing w:after="0" w:line="240" w:lineRule="auto"/>
      </w:pPr>
      <w:r w:rsidRPr="00E128D3">
        <w:t xml:space="preserve">Depuis le 28 mai 2026, le régime de suspension de la </w:t>
      </w:r>
      <w:r w:rsidRPr="00E128D3">
        <w:rPr>
          <w:b/>
          <w:bCs/>
        </w:rPr>
        <w:t>clause résolutoire</w:t>
      </w:r>
      <w:r w:rsidRPr="00E128D3">
        <w:t xml:space="preserve"> a été précisé.</w:t>
      </w:r>
    </w:p>
    <w:p w14:paraId="2A303F9C" w14:textId="77777777" w:rsidR="00E128D3" w:rsidRPr="00E128D3" w:rsidRDefault="00E128D3">
      <w:pPr>
        <w:numPr>
          <w:ilvl w:val="0"/>
          <w:numId w:val="35"/>
        </w:numPr>
        <w:spacing w:after="0" w:line="240" w:lineRule="auto"/>
      </w:pPr>
      <w:r w:rsidRPr="00E128D3">
        <w:t>Les sommes données en garantie doivent désormais être restituées dans un délai ne pouvant excéder trois mois après remise des clés, sous réserve des sommes restant dûment justifiées.</w:t>
      </w:r>
    </w:p>
    <w:p w14:paraId="18051DBD" w14:textId="77777777" w:rsidR="00E128D3" w:rsidRPr="00E128D3" w:rsidRDefault="00E128D3" w:rsidP="00E128D3">
      <w:pPr>
        <w:pStyle w:val="Titre1"/>
      </w:pPr>
      <w:r w:rsidRPr="00E128D3">
        <w:t>42. Droit applicable et évolutions</w:t>
      </w:r>
    </w:p>
    <w:p w14:paraId="17529BE0" w14:textId="77777777" w:rsidR="00E128D3" w:rsidRPr="00E128D3" w:rsidRDefault="00E128D3" w:rsidP="00E128D3">
      <w:pPr>
        <w:spacing w:after="0" w:line="240" w:lineRule="auto"/>
        <w:rPr>
          <w:b/>
          <w:bCs/>
        </w:rPr>
      </w:pPr>
      <w:r w:rsidRPr="00E128D3">
        <w:rPr>
          <w:b/>
          <w:bCs/>
        </w:rPr>
        <w:t>Droit applicable au 12 août 2026</w:t>
      </w:r>
    </w:p>
    <w:p w14:paraId="5732AD66" w14:textId="77777777" w:rsidR="00E128D3" w:rsidRPr="00E128D3" w:rsidRDefault="00E128D3" w:rsidP="00E128D3">
      <w:pPr>
        <w:spacing w:after="0" w:line="240" w:lineRule="auto"/>
      </w:pPr>
      <w:r w:rsidRPr="00E128D3">
        <w:t xml:space="preserve">Le régime du fonds de commerce figure principalement au </w:t>
      </w:r>
      <w:r w:rsidRPr="00E128D3">
        <w:rPr>
          <w:b/>
          <w:bCs/>
        </w:rPr>
        <w:t>titre IV du livre Ier du Code de commerce</w:t>
      </w:r>
      <w:r w:rsidRPr="00E128D3">
        <w:t xml:space="preserve">, tandis que le statut des baux commerciaux est organisé par les articles </w:t>
      </w:r>
      <w:r w:rsidRPr="00E128D3">
        <w:rPr>
          <w:b/>
          <w:bCs/>
        </w:rPr>
        <w:t>L. 145-1 à L. 145-60</w:t>
      </w:r>
      <w:r w:rsidRPr="00E128D3">
        <w:t>. (</w:t>
      </w:r>
      <w:hyperlink r:id="rId57" w:tooltip="TITRE IV : Du fonds de commerce. (Articles L141-2 à L146-4) - Légifrance" w:history="1">
        <w:r w:rsidRPr="00E128D3">
          <w:rPr>
            <w:rStyle w:val="Lienhypertexte"/>
          </w:rPr>
          <w:t>Légifrance</w:t>
        </w:r>
      </w:hyperlink>
      <w:r w:rsidRPr="00E128D3">
        <w:t>)</w:t>
      </w:r>
    </w:p>
    <w:p w14:paraId="4E3317C4" w14:textId="54818F85" w:rsidR="00E128D3" w:rsidRPr="00E128D3" w:rsidRDefault="00E128D3" w:rsidP="00E128D3">
      <w:pPr>
        <w:spacing w:after="0" w:line="240" w:lineRule="auto"/>
      </w:pPr>
      <w:r w:rsidRPr="00E128D3">
        <w:t>L’année 2026 comporte plusieurs modifications directement opérationnelles. La loi n° 2026-403 du 26 mai 2026 a notamment</w:t>
      </w:r>
      <w:r>
        <w:t> :</w:t>
      </w:r>
    </w:p>
    <w:p w14:paraId="1923A1C2" w14:textId="4185B24D" w:rsidR="00E128D3" w:rsidRPr="00E128D3" w:rsidRDefault="00E128D3">
      <w:pPr>
        <w:numPr>
          <w:ilvl w:val="0"/>
          <w:numId w:val="36"/>
        </w:numPr>
        <w:spacing w:after="0" w:line="240" w:lineRule="auto"/>
      </w:pPr>
      <w:r w:rsidRPr="00E128D3">
        <w:t xml:space="preserve">ramené à </w:t>
      </w:r>
      <w:r w:rsidRPr="00E128D3">
        <w:rPr>
          <w:b/>
          <w:bCs/>
        </w:rPr>
        <w:t>un mois avant la vente</w:t>
      </w:r>
      <w:r w:rsidRPr="00E128D3">
        <w:t xml:space="preserve"> le délai d’information des salariés dans le nouveau régime de cession de certains fonds</w:t>
      </w:r>
      <w:r>
        <w:t> ;</w:t>
      </w:r>
    </w:p>
    <w:p w14:paraId="07014401" w14:textId="06A3D029" w:rsidR="00E128D3" w:rsidRPr="00E128D3" w:rsidRDefault="00E128D3">
      <w:pPr>
        <w:numPr>
          <w:ilvl w:val="0"/>
          <w:numId w:val="36"/>
        </w:numPr>
        <w:spacing w:after="0" w:line="240" w:lineRule="auto"/>
      </w:pPr>
      <w:r w:rsidRPr="00E128D3">
        <w:t xml:space="preserve">créé pour certains locataires un droit à la </w:t>
      </w:r>
      <w:r w:rsidRPr="00E128D3">
        <w:rPr>
          <w:b/>
          <w:bCs/>
        </w:rPr>
        <w:t>mensualisation du loyer</w:t>
      </w:r>
      <w:r>
        <w:t> ;</w:t>
      </w:r>
    </w:p>
    <w:p w14:paraId="569A9A80" w14:textId="13D8BA32" w:rsidR="00E128D3" w:rsidRPr="00E128D3" w:rsidRDefault="00E128D3">
      <w:pPr>
        <w:numPr>
          <w:ilvl w:val="0"/>
          <w:numId w:val="36"/>
        </w:numPr>
        <w:spacing w:after="0" w:line="240" w:lineRule="auto"/>
      </w:pPr>
      <w:r w:rsidRPr="00E128D3">
        <w:t>précisé la restitution des sommes versées en garantie</w:t>
      </w:r>
      <w:r>
        <w:t> ;</w:t>
      </w:r>
    </w:p>
    <w:p w14:paraId="04260CED" w14:textId="77777777" w:rsidR="00E128D3" w:rsidRPr="00E128D3" w:rsidRDefault="00E128D3">
      <w:pPr>
        <w:numPr>
          <w:ilvl w:val="0"/>
          <w:numId w:val="36"/>
        </w:numPr>
        <w:spacing w:after="0" w:line="240" w:lineRule="auto"/>
      </w:pPr>
      <w:r w:rsidRPr="00E128D3">
        <w:t>modifié les conditions dans lesquelles le juge peut suspendre les effets d’une clause résolutoire pour impayés. (</w:t>
      </w:r>
      <w:hyperlink r:id="rId58" w:tooltip="TITRE IV : Du fonds de commerce. (Articles L141-2 à L146-4) - Légifrance" w:history="1">
        <w:r w:rsidRPr="00E128D3">
          <w:rPr>
            <w:rStyle w:val="Lienhypertexte"/>
          </w:rPr>
          <w:t>Légifrance</w:t>
        </w:r>
      </w:hyperlink>
      <w:r w:rsidRPr="00E128D3">
        <w:t>)</w:t>
      </w:r>
    </w:p>
    <w:p w14:paraId="42CA8D34" w14:textId="77777777" w:rsidR="00E128D3" w:rsidRPr="00E128D3" w:rsidRDefault="00E128D3" w:rsidP="00E128D3">
      <w:pPr>
        <w:spacing w:after="0" w:line="240" w:lineRule="auto"/>
        <w:rPr>
          <w:b/>
          <w:bCs/>
        </w:rPr>
      </w:pPr>
      <w:r w:rsidRPr="00E128D3">
        <w:rPr>
          <w:b/>
          <w:bCs/>
        </w:rPr>
        <w:t>Évolution déjà adoptée mais à venir</w:t>
      </w:r>
    </w:p>
    <w:p w14:paraId="6F97EB10" w14:textId="4F11C72B" w:rsidR="00E128D3" w:rsidRPr="00E128D3" w:rsidRDefault="00E128D3" w:rsidP="00E128D3">
      <w:pPr>
        <w:spacing w:after="0" w:line="240" w:lineRule="auto"/>
      </w:pPr>
      <w:r w:rsidRPr="00E128D3">
        <w:t xml:space="preserve">Légifrance signale une nouvelle rédaction de certaines dispositions du champ d’application des baux commerciaux, notamment l’article </w:t>
      </w:r>
      <w:r w:rsidRPr="00E128D3">
        <w:rPr>
          <w:b/>
          <w:bCs/>
        </w:rPr>
        <w:t>L. 145-2</w:t>
      </w:r>
      <w:r w:rsidRPr="00E128D3">
        <w:t>, résultant de l’ordonnance n° 2025-1249 du 17 décembre 2025 et assortie d’une entrée en vigueur différée. Cette évolution concerne des hypothèses particulières d’application du statut</w:t>
      </w:r>
      <w:r>
        <w:t> ;</w:t>
      </w:r>
      <w:r w:rsidRPr="00E128D3">
        <w:t xml:space="preserve"> l’article L. 145-1, qui contient les conditions générales étudiées dans cette fiche, demeure le texte central à vérifier. (</w:t>
      </w:r>
      <w:hyperlink r:id="rId59" w:tooltip="Article L145-2 - Code de commerce" w:history="1">
        <w:r w:rsidRPr="00E128D3">
          <w:rPr>
            <w:rStyle w:val="Lienhypertexte"/>
          </w:rPr>
          <w:t>Légifrance</w:t>
        </w:r>
      </w:hyperlink>
      <w:r w:rsidRPr="00E128D3">
        <w:t>)</w:t>
      </w:r>
    </w:p>
    <w:p w14:paraId="3221C996" w14:textId="77777777" w:rsidR="00E128D3" w:rsidRPr="00E128D3" w:rsidRDefault="00E128D3" w:rsidP="00E128D3">
      <w:pPr>
        <w:pStyle w:val="Titre1"/>
      </w:pPr>
      <w:r w:rsidRPr="00E128D3">
        <w:t>43. Sigles et mots-clés</w:t>
      </w:r>
    </w:p>
    <w:tbl>
      <w:tblPr>
        <w:tblStyle w:val="Grilledutableau"/>
        <w:tblW w:w="0" w:type="auto"/>
        <w:tblLook w:val="04A0" w:firstRow="1" w:lastRow="0" w:firstColumn="1" w:lastColumn="0" w:noHBand="0" w:noVBand="1"/>
      </w:tblPr>
      <w:tblGrid>
        <w:gridCol w:w="2996"/>
        <w:gridCol w:w="6764"/>
      </w:tblGrid>
      <w:tr w:rsidR="00E128D3" w:rsidRPr="00E128D3" w14:paraId="0E3C510D" w14:textId="77777777" w:rsidTr="00E128D3">
        <w:trPr>
          <w:tblHeader/>
        </w:trPr>
        <w:tc>
          <w:tcPr>
            <w:tcW w:w="0" w:type="auto"/>
            <w:hideMark/>
          </w:tcPr>
          <w:p w14:paraId="553F543C"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Sigle / notion</w:t>
            </w:r>
          </w:p>
        </w:tc>
        <w:tc>
          <w:tcPr>
            <w:tcW w:w="0" w:type="auto"/>
            <w:hideMark/>
          </w:tcPr>
          <w:p w14:paraId="798F6C57" w14:textId="77777777" w:rsidR="00E128D3" w:rsidRPr="00E128D3" w:rsidRDefault="00E128D3" w:rsidP="00E128D3">
            <w:pPr>
              <w:jc w:val="left"/>
              <w:rPr>
                <w:rFonts w:ascii="Calibri" w:hAnsi="Calibri" w:cs="Calibri"/>
                <w:b/>
                <w:bCs/>
                <w:sz w:val="20"/>
              </w:rPr>
            </w:pPr>
            <w:r w:rsidRPr="00E128D3">
              <w:rPr>
                <w:rFonts w:ascii="Calibri" w:hAnsi="Calibri" w:cs="Calibri"/>
                <w:b/>
                <w:bCs/>
                <w:sz w:val="20"/>
              </w:rPr>
              <w:t>Signification</w:t>
            </w:r>
          </w:p>
        </w:tc>
      </w:tr>
      <w:tr w:rsidR="00E128D3" w:rsidRPr="00E128D3" w14:paraId="4E7EB8F3" w14:textId="77777777" w:rsidTr="00E128D3">
        <w:tc>
          <w:tcPr>
            <w:tcW w:w="0" w:type="auto"/>
            <w:hideMark/>
          </w:tcPr>
          <w:p w14:paraId="3AFE148C" w14:textId="77777777" w:rsidR="00E128D3" w:rsidRPr="00E128D3" w:rsidRDefault="00E128D3" w:rsidP="00E128D3">
            <w:pPr>
              <w:jc w:val="left"/>
              <w:rPr>
                <w:rFonts w:ascii="Calibri" w:hAnsi="Calibri" w:cs="Calibri"/>
                <w:sz w:val="20"/>
              </w:rPr>
            </w:pPr>
            <w:r w:rsidRPr="00E128D3">
              <w:rPr>
                <w:rFonts w:ascii="Calibri" w:hAnsi="Calibri" w:cs="Calibri"/>
                <w:b/>
                <w:bCs/>
                <w:sz w:val="20"/>
              </w:rPr>
              <w:t>Fonds de commerce</w:t>
            </w:r>
          </w:p>
        </w:tc>
        <w:tc>
          <w:tcPr>
            <w:tcW w:w="0" w:type="auto"/>
            <w:hideMark/>
          </w:tcPr>
          <w:p w14:paraId="40671ADF" w14:textId="77777777" w:rsidR="00E128D3" w:rsidRPr="00E128D3" w:rsidRDefault="00E128D3" w:rsidP="00E128D3">
            <w:pPr>
              <w:jc w:val="left"/>
              <w:rPr>
                <w:rFonts w:ascii="Calibri" w:hAnsi="Calibri" w:cs="Calibri"/>
                <w:sz w:val="20"/>
              </w:rPr>
            </w:pPr>
            <w:r w:rsidRPr="00E128D3">
              <w:rPr>
                <w:rFonts w:ascii="Calibri" w:hAnsi="Calibri" w:cs="Calibri"/>
                <w:sz w:val="20"/>
              </w:rPr>
              <w:t>Ensemble organisé de biens affectés à l’exploitation d’une clientèle</w:t>
            </w:r>
          </w:p>
        </w:tc>
      </w:tr>
      <w:tr w:rsidR="00E128D3" w:rsidRPr="00E128D3" w14:paraId="2787E39D" w14:textId="77777777" w:rsidTr="00E128D3">
        <w:tc>
          <w:tcPr>
            <w:tcW w:w="0" w:type="auto"/>
            <w:hideMark/>
          </w:tcPr>
          <w:p w14:paraId="6E8A173E" w14:textId="77777777" w:rsidR="00E128D3" w:rsidRPr="00E128D3" w:rsidRDefault="00E128D3" w:rsidP="00E128D3">
            <w:pPr>
              <w:jc w:val="left"/>
              <w:rPr>
                <w:rFonts w:ascii="Calibri" w:hAnsi="Calibri" w:cs="Calibri"/>
                <w:sz w:val="20"/>
              </w:rPr>
            </w:pPr>
            <w:r w:rsidRPr="00E128D3">
              <w:rPr>
                <w:rFonts w:ascii="Calibri" w:hAnsi="Calibri" w:cs="Calibri"/>
                <w:b/>
                <w:bCs/>
                <w:sz w:val="20"/>
              </w:rPr>
              <w:t>Clientèle</w:t>
            </w:r>
          </w:p>
        </w:tc>
        <w:tc>
          <w:tcPr>
            <w:tcW w:w="0" w:type="auto"/>
            <w:hideMark/>
          </w:tcPr>
          <w:p w14:paraId="42AAA4FA" w14:textId="77777777" w:rsidR="00E128D3" w:rsidRPr="00E128D3" w:rsidRDefault="00E128D3" w:rsidP="00E128D3">
            <w:pPr>
              <w:jc w:val="left"/>
              <w:rPr>
                <w:rFonts w:ascii="Calibri" w:hAnsi="Calibri" w:cs="Calibri"/>
                <w:sz w:val="20"/>
              </w:rPr>
            </w:pPr>
            <w:r w:rsidRPr="00E128D3">
              <w:rPr>
                <w:rFonts w:ascii="Calibri" w:hAnsi="Calibri" w:cs="Calibri"/>
                <w:sz w:val="20"/>
              </w:rPr>
              <w:t>Élément essentiel permettant de caractériser le fonds</w:t>
            </w:r>
          </w:p>
        </w:tc>
      </w:tr>
      <w:tr w:rsidR="00E128D3" w:rsidRPr="00E128D3" w14:paraId="7B97580F" w14:textId="77777777" w:rsidTr="00E128D3">
        <w:tc>
          <w:tcPr>
            <w:tcW w:w="0" w:type="auto"/>
            <w:hideMark/>
          </w:tcPr>
          <w:p w14:paraId="2333BAE1" w14:textId="77777777" w:rsidR="00E128D3" w:rsidRPr="00E128D3" w:rsidRDefault="00E128D3" w:rsidP="00E128D3">
            <w:pPr>
              <w:jc w:val="left"/>
              <w:rPr>
                <w:rFonts w:ascii="Calibri" w:hAnsi="Calibri" w:cs="Calibri"/>
                <w:sz w:val="20"/>
              </w:rPr>
            </w:pPr>
            <w:r w:rsidRPr="00E128D3">
              <w:rPr>
                <w:rFonts w:ascii="Calibri" w:hAnsi="Calibri" w:cs="Calibri"/>
                <w:b/>
                <w:bCs/>
                <w:sz w:val="20"/>
              </w:rPr>
              <w:t>Achalandage</w:t>
            </w:r>
          </w:p>
        </w:tc>
        <w:tc>
          <w:tcPr>
            <w:tcW w:w="0" w:type="auto"/>
            <w:hideMark/>
          </w:tcPr>
          <w:p w14:paraId="12951019" w14:textId="77777777" w:rsidR="00E128D3" w:rsidRPr="00E128D3" w:rsidRDefault="00E128D3" w:rsidP="00E128D3">
            <w:pPr>
              <w:jc w:val="left"/>
              <w:rPr>
                <w:rFonts w:ascii="Calibri" w:hAnsi="Calibri" w:cs="Calibri"/>
                <w:sz w:val="20"/>
              </w:rPr>
            </w:pPr>
            <w:r w:rsidRPr="00E128D3">
              <w:rPr>
                <w:rFonts w:ascii="Calibri" w:hAnsi="Calibri" w:cs="Calibri"/>
                <w:sz w:val="20"/>
              </w:rPr>
              <w:t>Attraction liée notamment au passage ou à l’emplacement</w:t>
            </w:r>
          </w:p>
        </w:tc>
      </w:tr>
      <w:tr w:rsidR="00E128D3" w:rsidRPr="00E128D3" w14:paraId="2E8F0A89" w14:textId="77777777" w:rsidTr="00E128D3">
        <w:tc>
          <w:tcPr>
            <w:tcW w:w="0" w:type="auto"/>
            <w:hideMark/>
          </w:tcPr>
          <w:p w14:paraId="781A3480" w14:textId="77777777" w:rsidR="00E128D3" w:rsidRPr="00E128D3" w:rsidRDefault="00E128D3" w:rsidP="00E128D3">
            <w:pPr>
              <w:jc w:val="left"/>
              <w:rPr>
                <w:rFonts w:ascii="Calibri" w:hAnsi="Calibri" w:cs="Calibri"/>
                <w:sz w:val="20"/>
              </w:rPr>
            </w:pPr>
            <w:r w:rsidRPr="00E128D3">
              <w:rPr>
                <w:rFonts w:ascii="Calibri" w:hAnsi="Calibri" w:cs="Calibri"/>
                <w:b/>
                <w:bCs/>
                <w:sz w:val="20"/>
              </w:rPr>
              <w:t>Droit au bail</w:t>
            </w:r>
          </w:p>
        </w:tc>
        <w:tc>
          <w:tcPr>
            <w:tcW w:w="0" w:type="auto"/>
            <w:hideMark/>
          </w:tcPr>
          <w:p w14:paraId="205D18D9" w14:textId="77777777" w:rsidR="00E128D3" w:rsidRPr="00E128D3" w:rsidRDefault="00E128D3" w:rsidP="00E128D3">
            <w:pPr>
              <w:jc w:val="left"/>
              <w:rPr>
                <w:rFonts w:ascii="Calibri" w:hAnsi="Calibri" w:cs="Calibri"/>
                <w:sz w:val="20"/>
              </w:rPr>
            </w:pPr>
            <w:r w:rsidRPr="00E128D3">
              <w:rPr>
                <w:rFonts w:ascii="Calibri" w:hAnsi="Calibri" w:cs="Calibri"/>
                <w:sz w:val="20"/>
              </w:rPr>
              <w:t>Droits du locataire issus du bail portant sur le local d’exploitation</w:t>
            </w:r>
          </w:p>
        </w:tc>
      </w:tr>
      <w:tr w:rsidR="00E128D3" w:rsidRPr="00E128D3" w14:paraId="32284C1D" w14:textId="77777777" w:rsidTr="00E128D3">
        <w:tc>
          <w:tcPr>
            <w:tcW w:w="0" w:type="auto"/>
            <w:hideMark/>
          </w:tcPr>
          <w:p w14:paraId="4093EB1B" w14:textId="77777777" w:rsidR="00E128D3" w:rsidRPr="00E128D3" w:rsidRDefault="00E128D3" w:rsidP="00E128D3">
            <w:pPr>
              <w:jc w:val="left"/>
              <w:rPr>
                <w:rFonts w:ascii="Calibri" w:hAnsi="Calibri" w:cs="Calibri"/>
                <w:sz w:val="20"/>
              </w:rPr>
            </w:pPr>
            <w:r w:rsidRPr="00E128D3">
              <w:rPr>
                <w:rFonts w:ascii="Calibri" w:hAnsi="Calibri" w:cs="Calibri"/>
                <w:b/>
                <w:bCs/>
                <w:sz w:val="20"/>
              </w:rPr>
              <w:t>Bail commercial</w:t>
            </w:r>
          </w:p>
        </w:tc>
        <w:tc>
          <w:tcPr>
            <w:tcW w:w="0" w:type="auto"/>
            <w:hideMark/>
          </w:tcPr>
          <w:p w14:paraId="05AF53A3" w14:textId="77777777" w:rsidR="00E128D3" w:rsidRPr="00E128D3" w:rsidRDefault="00E128D3" w:rsidP="00E128D3">
            <w:pPr>
              <w:jc w:val="left"/>
              <w:rPr>
                <w:rFonts w:ascii="Calibri" w:hAnsi="Calibri" w:cs="Calibri"/>
                <w:sz w:val="20"/>
              </w:rPr>
            </w:pPr>
            <w:r w:rsidRPr="00E128D3">
              <w:rPr>
                <w:rFonts w:ascii="Calibri" w:hAnsi="Calibri" w:cs="Calibri"/>
                <w:sz w:val="20"/>
              </w:rPr>
              <w:t>Bail soumis au statut protecteur des articles L. 145-1 et suivants</w:t>
            </w:r>
          </w:p>
        </w:tc>
      </w:tr>
      <w:tr w:rsidR="00E128D3" w:rsidRPr="00E128D3" w14:paraId="6E726605" w14:textId="77777777" w:rsidTr="00E128D3">
        <w:tc>
          <w:tcPr>
            <w:tcW w:w="0" w:type="auto"/>
            <w:hideMark/>
          </w:tcPr>
          <w:p w14:paraId="4EFCBB58" w14:textId="77777777" w:rsidR="00E128D3" w:rsidRPr="00E128D3" w:rsidRDefault="00E128D3" w:rsidP="00E128D3">
            <w:pPr>
              <w:jc w:val="left"/>
              <w:rPr>
                <w:rFonts w:ascii="Calibri" w:hAnsi="Calibri" w:cs="Calibri"/>
                <w:sz w:val="20"/>
              </w:rPr>
            </w:pPr>
            <w:r w:rsidRPr="00E128D3">
              <w:rPr>
                <w:rFonts w:ascii="Calibri" w:hAnsi="Calibri" w:cs="Calibri"/>
                <w:b/>
                <w:bCs/>
                <w:sz w:val="20"/>
              </w:rPr>
              <w:t>RCS</w:t>
            </w:r>
          </w:p>
        </w:tc>
        <w:tc>
          <w:tcPr>
            <w:tcW w:w="0" w:type="auto"/>
            <w:hideMark/>
          </w:tcPr>
          <w:p w14:paraId="50ABEB65" w14:textId="77777777" w:rsidR="00E128D3" w:rsidRPr="00E128D3" w:rsidRDefault="00E128D3" w:rsidP="00E128D3">
            <w:pPr>
              <w:jc w:val="left"/>
              <w:rPr>
                <w:rFonts w:ascii="Calibri" w:hAnsi="Calibri" w:cs="Calibri"/>
                <w:sz w:val="20"/>
              </w:rPr>
            </w:pPr>
            <w:r w:rsidRPr="00E128D3">
              <w:rPr>
                <w:rFonts w:ascii="Calibri" w:hAnsi="Calibri" w:cs="Calibri"/>
                <w:sz w:val="20"/>
              </w:rPr>
              <w:t>Registre du commerce et des sociétés</w:t>
            </w:r>
          </w:p>
        </w:tc>
      </w:tr>
      <w:tr w:rsidR="00E128D3" w:rsidRPr="00E128D3" w14:paraId="74C4E162" w14:textId="77777777" w:rsidTr="00E128D3">
        <w:tc>
          <w:tcPr>
            <w:tcW w:w="0" w:type="auto"/>
            <w:hideMark/>
          </w:tcPr>
          <w:p w14:paraId="35C0AFF9" w14:textId="77777777" w:rsidR="00E128D3" w:rsidRPr="00E128D3" w:rsidRDefault="00E128D3" w:rsidP="00E128D3">
            <w:pPr>
              <w:jc w:val="left"/>
              <w:rPr>
                <w:rFonts w:ascii="Calibri" w:hAnsi="Calibri" w:cs="Calibri"/>
                <w:sz w:val="20"/>
              </w:rPr>
            </w:pPr>
            <w:r w:rsidRPr="00E128D3">
              <w:rPr>
                <w:rFonts w:ascii="Calibri" w:hAnsi="Calibri" w:cs="Calibri"/>
                <w:b/>
                <w:bCs/>
                <w:sz w:val="20"/>
              </w:rPr>
              <w:t>RNE</w:t>
            </w:r>
          </w:p>
        </w:tc>
        <w:tc>
          <w:tcPr>
            <w:tcW w:w="0" w:type="auto"/>
            <w:hideMark/>
          </w:tcPr>
          <w:p w14:paraId="3C2BBB80" w14:textId="77777777" w:rsidR="00E128D3" w:rsidRPr="00E128D3" w:rsidRDefault="00E128D3" w:rsidP="00E128D3">
            <w:pPr>
              <w:jc w:val="left"/>
              <w:rPr>
                <w:rFonts w:ascii="Calibri" w:hAnsi="Calibri" w:cs="Calibri"/>
                <w:sz w:val="20"/>
              </w:rPr>
            </w:pPr>
            <w:r w:rsidRPr="00E128D3">
              <w:rPr>
                <w:rFonts w:ascii="Calibri" w:hAnsi="Calibri" w:cs="Calibri"/>
                <w:sz w:val="20"/>
              </w:rPr>
              <w:t>Registre national des entreprises</w:t>
            </w:r>
          </w:p>
        </w:tc>
      </w:tr>
      <w:tr w:rsidR="00E128D3" w:rsidRPr="00E128D3" w14:paraId="29A21CC3" w14:textId="77777777" w:rsidTr="00E128D3">
        <w:tc>
          <w:tcPr>
            <w:tcW w:w="0" w:type="auto"/>
            <w:hideMark/>
          </w:tcPr>
          <w:p w14:paraId="40075C2C" w14:textId="77777777" w:rsidR="00E128D3" w:rsidRPr="00E128D3" w:rsidRDefault="00E128D3" w:rsidP="00E128D3">
            <w:pPr>
              <w:jc w:val="left"/>
              <w:rPr>
                <w:rFonts w:ascii="Calibri" w:hAnsi="Calibri" w:cs="Calibri"/>
                <w:sz w:val="20"/>
              </w:rPr>
            </w:pPr>
            <w:r w:rsidRPr="00E128D3">
              <w:rPr>
                <w:rFonts w:ascii="Calibri" w:hAnsi="Calibri" w:cs="Calibri"/>
                <w:b/>
                <w:bCs/>
                <w:sz w:val="20"/>
              </w:rPr>
              <w:t>CSE</w:t>
            </w:r>
          </w:p>
        </w:tc>
        <w:tc>
          <w:tcPr>
            <w:tcW w:w="0" w:type="auto"/>
            <w:hideMark/>
          </w:tcPr>
          <w:p w14:paraId="7567C94A" w14:textId="77777777" w:rsidR="00E128D3" w:rsidRPr="00E128D3" w:rsidRDefault="00E128D3" w:rsidP="00E128D3">
            <w:pPr>
              <w:jc w:val="left"/>
              <w:rPr>
                <w:rFonts w:ascii="Calibri" w:hAnsi="Calibri" w:cs="Calibri"/>
                <w:sz w:val="20"/>
              </w:rPr>
            </w:pPr>
            <w:r w:rsidRPr="00E128D3">
              <w:rPr>
                <w:rFonts w:ascii="Calibri" w:hAnsi="Calibri" w:cs="Calibri"/>
                <w:sz w:val="20"/>
              </w:rPr>
              <w:t>Comité social et économique</w:t>
            </w:r>
          </w:p>
        </w:tc>
      </w:tr>
      <w:tr w:rsidR="00E128D3" w:rsidRPr="00E128D3" w14:paraId="1819C9DC" w14:textId="77777777" w:rsidTr="00E128D3">
        <w:tc>
          <w:tcPr>
            <w:tcW w:w="0" w:type="auto"/>
            <w:hideMark/>
          </w:tcPr>
          <w:p w14:paraId="4B362880" w14:textId="77777777" w:rsidR="00E128D3" w:rsidRPr="00E128D3" w:rsidRDefault="00E128D3" w:rsidP="00E128D3">
            <w:pPr>
              <w:jc w:val="left"/>
              <w:rPr>
                <w:rFonts w:ascii="Calibri" w:hAnsi="Calibri" w:cs="Calibri"/>
                <w:sz w:val="20"/>
              </w:rPr>
            </w:pPr>
            <w:r w:rsidRPr="00E128D3">
              <w:rPr>
                <w:rFonts w:ascii="Calibri" w:hAnsi="Calibri" w:cs="Calibri"/>
                <w:b/>
                <w:bCs/>
                <w:sz w:val="20"/>
              </w:rPr>
              <w:t>Déspécialisation</w:t>
            </w:r>
          </w:p>
        </w:tc>
        <w:tc>
          <w:tcPr>
            <w:tcW w:w="0" w:type="auto"/>
            <w:hideMark/>
          </w:tcPr>
          <w:p w14:paraId="77BC9129" w14:textId="77777777" w:rsidR="00E128D3" w:rsidRPr="00E128D3" w:rsidRDefault="00E128D3" w:rsidP="00E128D3">
            <w:pPr>
              <w:jc w:val="left"/>
              <w:rPr>
                <w:rFonts w:ascii="Calibri" w:hAnsi="Calibri" w:cs="Calibri"/>
                <w:sz w:val="20"/>
              </w:rPr>
            </w:pPr>
            <w:r w:rsidRPr="00E128D3">
              <w:rPr>
                <w:rFonts w:ascii="Calibri" w:hAnsi="Calibri" w:cs="Calibri"/>
                <w:sz w:val="20"/>
              </w:rPr>
              <w:t>Modification de l’activité autorisée par le bail</w:t>
            </w:r>
          </w:p>
        </w:tc>
      </w:tr>
      <w:tr w:rsidR="00E128D3" w:rsidRPr="00E128D3" w14:paraId="54E8D1AC" w14:textId="77777777" w:rsidTr="00E128D3">
        <w:tc>
          <w:tcPr>
            <w:tcW w:w="0" w:type="auto"/>
            <w:hideMark/>
          </w:tcPr>
          <w:p w14:paraId="3061A90E" w14:textId="77777777" w:rsidR="00E128D3" w:rsidRPr="00E128D3" w:rsidRDefault="00E128D3" w:rsidP="00E128D3">
            <w:pPr>
              <w:jc w:val="left"/>
              <w:rPr>
                <w:rFonts w:ascii="Calibri" w:hAnsi="Calibri" w:cs="Calibri"/>
                <w:sz w:val="20"/>
              </w:rPr>
            </w:pPr>
            <w:r w:rsidRPr="00E128D3">
              <w:rPr>
                <w:rFonts w:ascii="Calibri" w:hAnsi="Calibri" w:cs="Calibri"/>
                <w:b/>
                <w:bCs/>
                <w:sz w:val="20"/>
              </w:rPr>
              <w:t>Déspécialisation partielle</w:t>
            </w:r>
          </w:p>
        </w:tc>
        <w:tc>
          <w:tcPr>
            <w:tcW w:w="0" w:type="auto"/>
            <w:hideMark/>
          </w:tcPr>
          <w:p w14:paraId="2D9F5767" w14:textId="77777777" w:rsidR="00E128D3" w:rsidRPr="00E128D3" w:rsidRDefault="00E128D3" w:rsidP="00E128D3">
            <w:pPr>
              <w:jc w:val="left"/>
              <w:rPr>
                <w:rFonts w:ascii="Calibri" w:hAnsi="Calibri" w:cs="Calibri"/>
                <w:sz w:val="20"/>
              </w:rPr>
            </w:pPr>
            <w:r w:rsidRPr="00E128D3">
              <w:rPr>
                <w:rFonts w:ascii="Calibri" w:hAnsi="Calibri" w:cs="Calibri"/>
                <w:sz w:val="20"/>
              </w:rPr>
              <w:t>Adjonction d’activités connexes ou complémentaires</w:t>
            </w:r>
          </w:p>
        </w:tc>
      </w:tr>
      <w:tr w:rsidR="00E128D3" w:rsidRPr="00E128D3" w14:paraId="79858E9A" w14:textId="77777777" w:rsidTr="00E128D3">
        <w:tc>
          <w:tcPr>
            <w:tcW w:w="0" w:type="auto"/>
            <w:hideMark/>
          </w:tcPr>
          <w:p w14:paraId="02C0A9BA" w14:textId="77777777" w:rsidR="00E128D3" w:rsidRPr="00E128D3" w:rsidRDefault="00E128D3" w:rsidP="00E128D3">
            <w:pPr>
              <w:jc w:val="left"/>
              <w:rPr>
                <w:rFonts w:ascii="Calibri" w:hAnsi="Calibri" w:cs="Calibri"/>
                <w:sz w:val="20"/>
              </w:rPr>
            </w:pPr>
            <w:r w:rsidRPr="00E128D3">
              <w:rPr>
                <w:rFonts w:ascii="Calibri" w:hAnsi="Calibri" w:cs="Calibri"/>
                <w:b/>
                <w:bCs/>
                <w:sz w:val="20"/>
              </w:rPr>
              <w:t>Déspécialisation totale</w:t>
            </w:r>
          </w:p>
        </w:tc>
        <w:tc>
          <w:tcPr>
            <w:tcW w:w="0" w:type="auto"/>
            <w:hideMark/>
          </w:tcPr>
          <w:p w14:paraId="343BE9D0" w14:textId="77777777" w:rsidR="00E128D3" w:rsidRPr="00E128D3" w:rsidRDefault="00E128D3" w:rsidP="00E128D3">
            <w:pPr>
              <w:jc w:val="left"/>
              <w:rPr>
                <w:rFonts w:ascii="Calibri" w:hAnsi="Calibri" w:cs="Calibri"/>
                <w:sz w:val="20"/>
              </w:rPr>
            </w:pPr>
            <w:r w:rsidRPr="00E128D3">
              <w:rPr>
                <w:rFonts w:ascii="Calibri" w:hAnsi="Calibri" w:cs="Calibri"/>
                <w:sz w:val="20"/>
              </w:rPr>
              <w:t>Substitution d’activités différentes dans les conditions légales</w:t>
            </w:r>
          </w:p>
        </w:tc>
      </w:tr>
      <w:tr w:rsidR="00E128D3" w:rsidRPr="00E128D3" w14:paraId="60AD888F" w14:textId="77777777" w:rsidTr="00E128D3">
        <w:tc>
          <w:tcPr>
            <w:tcW w:w="0" w:type="auto"/>
            <w:hideMark/>
          </w:tcPr>
          <w:p w14:paraId="13BCAA13" w14:textId="77777777" w:rsidR="00E128D3" w:rsidRPr="00E128D3" w:rsidRDefault="00E128D3" w:rsidP="00E128D3">
            <w:pPr>
              <w:jc w:val="left"/>
              <w:rPr>
                <w:rFonts w:ascii="Calibri" w:hAnsi="Calibri" w:cs="Calibri"/>
                <w:sz w:val="20"/>
              </w:rPr>
            </w:pPr>
            <w:r w:rsidRPr="00E128D3">
              <w:rPr>
                <w:rFonts w:ascii="Calibri" w:hAnsi="Calibri" w:cs="Calibri"/>
                <w:b/>
                <w:bCs/>
                <w:sz w:val="20"/>
              </w:rPr>
              <w:t>Propriété commerciale</w:t>
            </w:r>
          </w:p>
        </w:tc>
        <w:tc>
          <w:tcPr>
            <w:tcW w:w="0" w:type="auto"/>
            <w:hideMark/>
          </w:tcPr>
          <w:p w14:paraId="47D565C1" w14:textId="77777777" w:rsidR="00E128D3" w:rsidRPr="00E128D3" w:rsidRDefault="00E128D3" w:rsidP="00E128D3">
            <w:pPr>
              <w:jc w:val="left"/>
              <w:rPr>
                <w:rFonts w:ascii="Calibri" w:hAnsi="Calibri" w:cs="Calibri"/>
                <w:sz w:val="20"/>
              </w:rPr>
            </w:pPr>
            <w:r w:rsidRPr="00E128D3">
              <w:rPr>
                <w:rFonts w:ascii="Calibri" w:hAnsi="Calibri" w:cs="Calibri"/>
                <w:sz w:val="20"/>
              </w:rPr>
              <w:t>Protection résultant principalement du droit au renouvellement</w:t>
            </w:r>
          </w:p>
        </w:tc>
      </w:tr>
      <w:tr w:rsidR="00E128D3" w:rsidRPr="00E128D3" w14:paraId="40A8CE04" w14:textId="77777777" w:rsidTr="00E128D3">
        <w:tc>
          <w:tcPr>
            <w:tcW w:w="0" w:type="auto"/>
            <w:hideMark/>
          </w:tcPr>
          <w:p w14:paraId="7C5CC1EB" w14:textId="77777777" w:rsidR="00E128D3" w:rsidRPr="00E128D3" w:rsidRDefault="00E128D3" w:rsidP="00E128D3">
            <w:pPr>
              <w:jc w:val="left"/>
              <w:rPr>
                <w:rFonts w:ascii="Calibri" w:hAnsi="Calibri" w:cs="Calibri"/>
                <w:sz w:val="20"/>
              </w:rPr>
            </w:pPr>
            <w:r w:rsidRPr="00E128D3">
              <w:rPr>
                <w:rFonts w:ascii="Calibri" w:hAnsi="Calibri" w:cs="Calibri"/>
                <w:b/>
                <w:bCs/>
                <w:sz w:val="20"/>
              </w:rPr>
              <w:t>Indemnité d’éviction</w:t>
            </w:r>
          </w:p>
        </w:tc>
        <w:tc>
          <w:tcPr>
            <w:tcW w:w="0" w:type="auto"/>
            <w:hideMark/>
          </w:tcPr>
          <w:p w14:paraId="0D884AC3" w14:textId="77777777" w:rsidR="00E128D3" w:rsidRPr="00E128D3" w:rsidRDefault="00E128D3" w:rsidP="00E128D3">
            <w:pPr>
              <w:jc w:val="left"/>
              <w:rPr>
                <w:rFonts w:ascii="Calibri" w:hAnsi="Calibri" w:cs="Calibri"/>
                <w:sz w:val="20"/>
              </w:rPr>
            </w:pPr>
            <w:r w:rsidRPr="00E128D3">
              <w:rPr>
                <w:rFonts w:ascii="Calibri" w:hAnsi="Calibri" w:cs="Calibri"/>
                <w:sz w:val="20"/>
              </w:rPr>
              <w:t>Indemnité réparant le préjudice causé par le refus de renouvellement</w:t>
            </w:r>
          </w:p>
        </w:tc>
      </w:tr>
      <w:tr w:rsidR="00E128D3" w:rsidRPr="00E128D3" w14:paraId="463A4A5F" w14:textId="77777777" w:rsidTr="00E128D3">
        <w:tc>
          <w:tcPr>
            <w:tcW w:w="0" w:type="auto"/>
            <w:hideMark/>
          </w:tcPr>
          <w:p w14:paraId="26F44B9E" w14:textId="77777777" w:rsidR="00E128D3" w:rsidRPr="00E128D3" w:rsidRDefault="00E128D3" w:rsidP="00E128D3">
            <w:pPr>
              <w:jc w:val="left"/>
              <w:rPr>
                <w:rFonts w:ascii="Calibri" w:hAnsi="Calibri" w:cs="Calibri"/>
                <w:sz w:val="20"/>
              </w:rPr>
            </w:pPr>
            <w:r w:rsidRPr="00E128D3">
              <w:rPr>
                <w:rFonts w:ascii="Calibri" w:hAnsi="Calibri" w:cs="Calibri"/>
                <w:b/>
                <w:bCs/>
                <w:sz w:val="20"/>
              </w:rPr>
              <w:t>Nantissement</w:t>
            </w:r>
          </w:p>
        </w:tc>
        <w:tc>
          <w:tcPr>
            <w:tcW w:w="0" w:type="auto"/>
            <w:hideMark/>
          </w:tcPr>
          <w:p w14:paraId="0505AFEA" w14:textId="77777777" w:rsidR="00E128D3" w:rsidRPr="00E128D3" w:rsidRDefault="00E128D3" w:rsidP="00E128D3">
            <w:pPr>
              <w:jc w:val="left"/>
              <w:rPr>
                <w:rFonts w:ascii="Calibri" w:hAnsi="Calibri" w:cs="Calibri"/>
                <w:sz w:val="20"/>
              </w:rPr>
            </w:pPr>
            <w:r w:rsidRPr="00E128D3">
              <w:rPr>
                <w:rFonts w:ascii="Calibri" w:hAnsi="Calibri" w:cs="Calibri"/>
                <w:sz w:val="20"/>
              </w:rPr>
              <w:t>Sûreté portant sur le fonds de commerce</w:t>
            </w:r>
          </w:p>
        </w:tc>
      </w:tr>
      <w:tr w:rsidR="00E128D3" w:rsidRPr="00E128D3" w14:paraId="73B2FD89" w14:textId="77777777" w:rsidTr="00E128D3">
        <w:tc>
          <w:tcPr>
            <w:tcW w:w="0" w:type="auto"/>
            <w:hideMark/>
          </w:tcPr>
          <w:p w14:paraId="4543F85A" w14:textId="77777777" w:rsidR="00E128D3" w:rsidRPr="00E128D3" w:rsidRDefault="00E128D3" w:rsidP="00E128D3">
            <w:pPr>
              <w:jc w:val="left"/>
              <w:rPr>
                <w:rFonts w:ascii="Calibri" w:hAnsi="Calibri" w:cs="Calibri"/>
                <w:sz w:val="20"/>
              </w:rPr>
            </w:pPr>
            <w:r w:rsidRPr="00E128D3">
              <w:rPr>
                <w:rFonts w:ascii="Calibri" w:hAnsi="Calibri" w:cs="Calibri"/>
                <w:b/>
                <w:bCs/>
                <w:sz w:val="20"/>
              </w:rPr>
              <w:t>Clause résolutoire</w:t>
            </w:r>
          </w:p>
        </w:tc>
        <w:tc>
          <w:tcPr>
            <w:tcW w:w="0" w:type="auto"/>
            <w:hideMark/>
          </w:tcPr>
          <w:p w14:paraId="5B9B665E" w14:textId="77777777" w:rsidR="00E128D3" w:rsidRPr="00E128D3" w:rsidRDefault="00E128D3" w:rsidP="00E128D3">
            <w:pPr>
              <w:jc w:val="left"/>
              <w:rPr>
                <w:rFonts w:ascii="Calibri" w:hAnsi="Calibri" w:cs="Calibri"/>
                <w:sz w:val="20"/>
              </w:rPr>
            </w:pPr>
            <w:r w:rsidRPr="00E128D3">
              <w:rPr>
                <w:rFonts w:ascii="Calibri" w:hAnsi="Calibri" w:cs="Calibri"/>
                <w:sz w:val="20"/>
              </w:rPr>
              <w:t>Clause organisant la résiliation de plein droit après respect des conditions légales</w:t>
            </w:r>
          </w:p>
        </w:tc>
      </w:tr>
      <w:tr w:rsidR="00E128D3" w:rsidRPr="00E128D3" w14:paraId="0ED6F854" w14:textId="77777777" w:rsidTr="00E128D3">
        <w:tc>
          <w:tcPr>
            <w:tcW w:w="0" w:type="auto"/>
            <w:hideMark/>
          </w:tcPr>
          <w:p w14:paraId="34B5655C" w14:textId="77777777" w:rsidR="00E128D3" w:rsidRPr="00E128D3" w:rsidRDefault="00E128D3" w:rsidP="00E128D3">
            <w:pPr>
              <w:jc w:val="left"/>
              <w:rPr>
                <w:rFonts w:ascii="Calibri" w:hAnsi="Calibri" w:cs="Calibri"/>
                <w:sz w:val="20"/>
              </w:rPr>
            </w:pPr>
            <w:r w:rsidRPr="00E128D3">
              <w:rPr>
                <w:rFonts w:ascii="Calibri" w:hAnsi="Calibri" w:cs="Calibri"/>
                <w:b/>
                <w:bCs/>
                <w:sz w:val="20"/>
              </w:rPr>
              <w:t>Bail dérogatoire</w:t>
            </w:r>
          </w:p>
        </w:tc>
        <w:tc>
          <w:tcPr>
            <w:tcW w:w="0" w:type="auto"/>
            <w:hideMark/>
          </w:tcPr>
          <w:p w14:paraId="2DFE462D" w14:textId="77777777" w:rsidR="00E128D3" w:rsidRPr="00E128D3" w:rsidRDefault="00E128D3" w:rsidP="00E128D3">
            <w:pPr>
              <w:jc w:val="left"/>
              <w:rPr>
                <w:rFonts w:ascii="Calibri" w:hAnsi="Calibri" w:cs="Calibri"/>
                <w:sz w:val="20"/>
              </w:rPr>
            </w:pPr>
            <w:r w:rsidRPr="00E128D3">
              <w:rPr>
                <w:rFonts w:ascii="Calibri" w:hAnsi="Calibri" w:cs="Calibri"/>
                <w:sz w:val="20"/>
              </w:rPr>
              <w:t>Bail temporairement placé hors du statut dans les conditions légales</w:t>
            </w:r>
          </w:p>
        </w:tc>
      </w:tr>
      <w:tr w:rsidR="00E128D3" w:rsidRPr="00E128D3" w14:paraId="149FE507" w14:textId="77777777" w:rsidTr="00E128D3">
        <w:tc>
          <w:tcPr>
            <w:tcW w:w="0" w:type="auto"/>
            <w:hideMark/>
          </w:tcPr>
          <w:p w14:paraId="68016908" w14:textId="77777777" w:rsidR="00E128D3" w:rsidRPr="00E128D3" w:rsidRDefault="00E128D3" w:rsidP="00E128D3">
            <w:pPr>
              <w:jc w:val="left"/>
              <w:rPr>
                <w:rFonts w:ascii="Calibri" w:hAnsi="Calibri" w:cs="Calibri"/>
                <w:sz w:val="20"/>
              </w:rPr>
            </w:pPr>
            <w:r w:rsidRPr="00E128D3">
              <w:rPr>
                <w:rFonts w:ascii="Calibri" w:hAnsi="Calibri" w:cs="Calibri"/>
                <w:b/>
                <w:bCs/>
                <w:sz w:val="20"/>
              </w:rPr>
              <w:t>Convention d’occupation précaire</w:t>
            </w:r>
          </w:p>
        </w:tc>
        <w:tc>
          <w:tcPr>
            <w:tcW w:w="0" w:type="auto"/>
            <w:hideMark/>
          </w:tcPr>
          <w:p w14:paraId="192752CB" w14:textId="77777777" w:rsidR="00E128D3" w:rsidRPr="00E128D3" w:rsidRDefault="00E128D3" w:rsidP="00E128D3">
            <w:pPr>
              <w:jc w:val="left"/>
              <w:rPr>
                <w:rFonts w:ascii="Calibri" w:hAnsi="Calibri" w:cs="Calibri"/>
                <w:sz w:val="20"/>
              </w:rPr>
            </w:pPr>
            <w:r w:rsidRPr="00E128D3">
              <w:rPr>
                <w:rFonts w:ascii="Calibri" w:hAnsi="Calibri" w:cs="Calibri"/>
                <w:sz w:val="20"/>
              </w:rPr>
              <w:t>Occupation précaire justifiée par des circonstances particulières</w:t>
            </w:r>
          </w:p>
        </w:tc>
      </w:tr>
    </w:tbl>
    <w:p w14:paraId="5522089F" w14:textId="77777777" w:rsidR="00E128D3" w:rsidRPr="00E128D3" w:rsidRDefault="00E128D3" w:rsidP="00E128D3">
      <w:pPr>
        <w:spacing w:after="0" w:line="240" w:lineRule="auto"/>
        <w:rPr>
          <w:b/>
          <w:bCs/>
        </w:rPr>
      </w:pPr>
      <w:r w:rsidRPr="00E128D3">
        <w:rPr>
          <w:b/>
          <w:bCs/>
        </w:rPr>
        <w:t>Sources officielles</w:t>
      </w:r>
    </w:p>
    <w:p w14:paraId="15B195C1" w14:textId="77777777" w:rsidR="00E128D3" w:rsidRPr="00E128D3" w:rsidRDefault="00E128D3" w:rsidP="00E128D3">
      <w:pPr>
        <w:spacing w:after="0" w:line="240" w:lineRule="auto"/>
        <w:rPr>
          <w:b/>
          <w:bCs/>
        </w:rPr>
      </w:pPr>
      <w:r w:rsidRPr="00E128D3">
        <w:rPr>
          <w:b/>
          <w:bCs/>
        </w:rPr>
        <w:t>Référentiel</w:t>
      </w:r>
    </w:p>
    <w:p w14:paraId="5D817ADA" w14:textId="77777777" w:rsidR="00E128D3" w:rsidRDefault="00E128D3" w:rsidP="00E128D3">
      <w:pPr>
        <w:spacing w:after="0" w:line="240" w:lineRule="auto"/>
      </w:pPr>
      <w:r w:rsidRPr="00E128D3">
        <w:rPr>
          <w:b/>
          <w:bCs/>
        </w:rPr>
        <w:t xml:space="preserve">Référentiel DCG 2026 </w:t>
      </w:r>
      <w:r>
        <w:rPr>
          <w:b/>
          <w:bCs/>
        </w:rPr>
        <w:t>-</w:t>
      </w:r>
      <w:r w:rsidRPr="00E128D3">
        <w:rPr>
          <w:b/>
          <w:bCs/>
        </w:rPr>
        <w:t xml:space="preserve"> DROIT DES AFFAIRES </w:t>
      </w:r>
      <w:r>
        <w:rPr>
          <w:b/>
          <w:bCs/>
        </w:rPr>
        <w:t>-</w:t>
      </w:r>
      <w:r w:rsidRPr="00E128D3">
        <w:rPr>
          <w:b/>
          <w:bCs/>
        </w:rPr>
        <w:t xml:space="preserve"> 3.1 Identifier les règles applicables à la gestion d’un fonds de commerce</w:t>
      </w:r>
    </w:p>
    <w:p w14:paraId="58CAC65B" w14:textId="41FE8D5A" w:rsidR="00E128D3" w:rsidRPr="00E128D3" w:rsidRDefault="00E128D3" w:rsidP="00E128D3">
      <w:pPr>
        <w:spacing w:after="0" w:line="240" w:lineRule="auto"/>
      </w:pPr>
      <w:r w:rsidRPr="00E128D3">
        <w:t>Référentiel officiel chargé.</w:t>
      </w:r>
    </w:p>
    <w:p w14:paraId="76288891" w14:textId="77777777" w:rsidR="00E128D3" w:rsidRPr="00E128D3" w:rsidRDefault="00E128D3" w:rsidP="00E128D3">
      <w:pPr>
        <w:spacing w:after="0" w:line="240" w:lineRule="auto"/>
        <w:rPr>
          <w:b/>
          <w:bCs/>
        </w:rPr>
      </w:pPr>
      <w:r w:rsidRPr="00E128D3">
        <w:rPr>
          <w:b/>
          <w:bCs/>
        </w:rPr>
        <w:t>Fonds de commerce</w:t>
      </w:r>
    </w:p>
    <w:p w14:paraId="47D33A9E" w14:textId="04A18316" w:rsidR="00E128D3" w:rsidRDefault="00E128D3" w:rsidP="00E128D3">
      <w:pPr>
        <w:spacing w:after="0" w:line="240" w:lineRule="auto"/>
      </w:pPr>
      <w:r w:rsidRPr="00E128D3">
        <w:rPr>
          <w:b/>
          <w:bCs/>
        </w:rPr>
        <w:t xml:space="preserve">Code de commerce </w:t>
      </w:r>
      <w:r>
        <w:rPr>
          <w:b/>
          <w:bCs/>
        </w:rPr>
        <w:t>-</w:t>
      </w:r>
      <w:r w:rsidRPr="00E128D3">
        <w:rPr>
          <w:b/>
          <w:bCs/>
        </w:rPr>
        <w:t xml:space="preserve"> titre IV</w:t>
      </w:r>
      <w:r>
        <w:rPr>
          <w:b/>
          <w:bCs/>
        </w:rPr>
        <w:t> :</w:t>
      </w:r>
      <w:r w:rsidRPr="00E128D3">
        <w:rPr>
          <w:b/>
          <w:bCs/>
        </w:rPr>
        <w:t xml:space="preserve"> du fonds de commerce</w:t>
      </w:r>
    </w:p>
    <w:p w14:paraId="0C0C1804" w14:textId="4B52F023" w:rsidR="00E128D3" w:rsidRPr="00E128D3" w:rsidRDefault="00E128D3" w:rsidP="00E128D3">
      <w:pPr>
        <w:spacing w:after="0" w:line="240" w:lineRule="auto"/>
      </w:pPr>
      <w:hyperlink r:id="rId60" w:history="1">
        <w:r w:rsidRPr="00E128D3">
          <w:rPr>
            <w:rStyle w:val="Lienhypertexte"/>
          </w:rPr>
          <w:t>https://www.legifrance.gouv.fr/codes/section_lc/LEGITEXT000005634379/LEGISCTA000006133174/</w:t>
        </w:r>
      </w:hyperlink>
    </w:p>
    <w:p w14:paraId="00126AB5" w14:textId="77777777" w:rsidR="00E128D3" w:rsidRDefault="00E128D3" w:rsidP="00E128D3">
      <w:pPr>
        <w:spacing w:after="0" w:line="240" w:lineRule="auto"/>
      </w:pPr>
      <w:r w:rsidRPr="00E128D3">
        <w:rPr>
          <w:b/>
          <w:bCs/>
        </w:rPr>
        <w:t xml:space="preserve">Code de commerce </w:t>
      </w:r>
      <w:r>
        <w:rPr>
          <w:b/>
          <w:bCs/>
        </w:rPr>
        <w:t>-</w:t>
      </w:r>
      <w:r w:rsidRPr="00E128D3">
        <w:rPr>
          <w:b/>
          <w:bCs/>
        </w:rPr>
        <w:t xml:space="preserve"> vente du fonds de commerce, articles L. 141-2 et suivants</w:t>
      </w:r>
    </w:p>
    <w:p w14:paraId="47021650" w14:textId="0D7C9951" w:rsidR="00E128D3" w:rsidRPr="00E128D3" w:rsidRDefault="00E128D3" w:rsidP="00E128D3">
      <w:pPr>
        <w:spacing w:after="0" w:line="240" w:lineRule="auto"/>
      </w:pPr>
      <w:hyperlink r:id="rId61" w:history="1">
        <w:r w:rsidRPr="00E128D3">
          <w:rPr>
            <w:rStyle w:val="Lienhypertexte"/>
          </w:rPr>
          <w:t>https://www.legifrance.gouv.fr/codes/section_lc/LEGITEXT000005634379/LEGISCTA000006133174/</w:t>
        </w:r>
      </w:hyperlink>
    </w:p>
    <w:p w14:paraId="1DE73200" w14:textId="6E85BD4C" w:rsidR="00E128D3" w:rsidRDefault="00E128D3" w:rsidP="00E128D3">
      <w:pPr>
        <w:spacing w:after="0" w:line="240" w:lineRule="auto"/>
      </w:pPr>
      <w:r w:rsidRPr="00E128D3">
        <w:rPr>
          <w:b/>
          <w:bCs/>
        </w:rPr>
        <w:t xml:space="preserve">Code de commerce </w:t>
      </w:r>
      <w:r>
        <w:rPr>
          <w:b/>
          <w:bCs/>
        </w:rPr>
        <w:t>-</w:t>
      </w:r>
      <w:r w:rsidRPr="00E128D3">
        <w:rPr>
          <w:b/>
          <w:bCs/>
        </w:rPr>
        <w:t xml:space="preserve"> article L. 142-2</w:t>
      </w:r>
      <w:r>
        <w:rPr>
          <w:b/>
          <w:bCs/>
        </w:rPr>
        <w:t> :</w:t>
      </w:r>
      <w:r w:rsidRPr="00E128D3">
        <w:rPr>
          <w:b/>
          <w:bCs/>
        </w:rPr>
        <w:t xml:space="preserve"> éléments susceptibles d’être compris dans le nantissement</w:t>
      </w:r>
    </w:p>
    <w:p w14:paraId="361ED221" w14:textId="5D9450A8" w:rsidR="00E128D3" w:rsidRPr="00E128D3" w:rsidRDefault="00E128D3" w:rsidP="00E128D3">
      <w:pPr>
        <w:spacing w:after="0" w:line="240" w:lineRule="auto"/>
      </w:pPr>
      <w:hyperlink r:id="rId62" w:history="1">
        <w:r w:rsidRPr="00E128D3">
          <w:rPr>
            <w:rStyle w:val="Lienhypertexte"/>
          </w:rPr>
          <w:t>https://www.legifrance.gouv.fr/codes/article_lc/LEGIARTI000044072493</w:t>
        </w:r>
      </w:hyperlink>
    </w:p>
    <w:p w14:paraId="492609D9" w14:textId="14BDC1EC"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142-1 à L. 142-5</w:t>
      </w:r>
      <w:r>
        <w:rPr>
          <w:b/>
          <w:bCs/>
        </w:rPr>
        <w:t> :</w:t>
      </w:r>
      <w:r w:rsidRPr="00E128D3">
        <w:rPr>
          <w:b/>
          <w:bCs/>
        </w:rPr>
        <w:t xml:space="preserve"> nantissement du fonds</w:t>
      </w:r>
    </w:p>
    <w:p w14:paraId="57701860" w14:textId="4975D981" w:rsidR="00E128D3" w:rsidRPr="00E128D3" w:rsidRDefault="00E128D3" w:rsidP="00E128D3">
      <w:pPr>
        <w:spacing w:after="0" w:line="240" w:lineRule="auto"/>
      </w:pPr>
      <w:hyperlink r:id="rId63" w:history="1">
        <w:r w:rsidRPr="00E128D3">
          <w:rPr>
            <w:rStyle w:val="Lienhypertexte"/>
          </w:rPr>
          <w:t>https://www.legifrance.gouv.fr/codes/section_lc/LEGITEXT000005634379/LEGISCTA000006146037/</w:t>
        </w:r>
      </w:hyperlink>
    </w:p>
    <w:p w14:paraId="6F43443C" w14:textId="77777777" w:rsidR="00E128D3" w:rsidRDefault="00E128D3" w:rsidP="00E128D3">
      <w:pPr>
        <w:spacing w:after="0" w:line="240" w:lineRule="auto"/>
      </w:pPr>
      <w:r w:rsidRPr="00E128D3">
        <w:rPr>
          <w:b/>
          <w:bCs/>
        </w:rPr>
        <w:t xml:space="preserve">Cour de cassation, troisième chambre civile, 5 avril 2018, n° 17-10.466 </w:t>
      </w:r>
      <w:r>
        <w:rPr>
          <w:b/>
          <w:bCs/>
        </w:rPr>
        <w:t>-</w:t>
      </w:r>
      <w:r w:rsidRPr="00E128D3">
        <w:rPr>
          <w:b/>
          <w:bCs/>
        </w:rPr>
        <w:t xml:space="preserve"> clientèle propre</w:t>
      </w:r>
    </w:p>
    <w:p w14:paraId="0263F34B" w14:textId="53549775" w:rsidR="00E128D3" w:rsidRPr="00E128D3" w:rsidRDefault="00E128D3" w:rsidP="00E128D3">
      <w:pPr>
        <w:spacing w:after="0" w:line="240" w:lineRule="auto"/>
      </w:pPr>
      <w:hyperlink r:id="rId64" w:history="1">
        <w:r w:rsidRPr="00E128D3">
          <w:rPr>
            <w:rStyle w:val="Lienhypertexte"/>
          </w:rPr>
          <w:t>https://www.legifrance.gouv.fr/juri/id/JURITEXT000036803301</w:t>
        </w:r>
      </w:hyperlink>
    </w:p>
    <w:p w14:paraId="4F79449C" w14:textId="77777777" w:rsidR="00E128D3" w:rsidRPr="00E128D3" w:rsidRDefault="00E128D3" w:rsidP="00E128D3">
      <w:pPr>
        <w:spacing w:after="0" w:line="240" w:lineRule="auto"/>
        <w:rPr>
          <w:b/>
          <w:bCs/>
        </w:rPr>
      </w:pPr>
      <w:r w:rsidRPr="00E128D3">
        <w:rPr>
          <w:b/>
          <w:bCs/>
        </w:rPr>
        <w:t>Information des salariés en cas de vente</w:t>
      </w:r>
    </w:p>
    <w:p w14:paraId="73DFBD0E" w14:textId="77777777"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141-23 à L. 141-28</w:t>
      </w:r>
    </w:p>
    <w:p w14:paraId="7A49EFA2" w14:textId="029D9EBF" w:rsidR="00E128D3" w:rsidRPr="00E128D3" w:rsidRDefault="00E128D3" w:rsidP="00E128D3">
      <w:pPr>
        <w:spacing w:after="0" w:line="240" w:lineRule="auto"/>
      </w:pPr>
      <w:hyperlink r:id="rId65" w:history="1">
        <w:r w:rsidRPr="00E128D3">
          <w:rPr>
            <w:rStyle w:val="Lienhypertexte"/>
          </w:rPr>
          <w:t>https://www.legifrance.gouv.fr/codes/section_lc/LEGITEXT000005634379/LEGISCTA000006133174/</w:t>
        </w:r>
      </w:hyperlink>
    </w:p>
    <w:p w14:paraId="59421C59" w14:textId="77777777" w:rsidR="00E128D3" w:rsidRDefault="00E128D3" w:rsidP="00E128D3">
      <w:pPr>
        <w:spacing w:after="0" w:line="240" w:lineRule="auto"/>
      </w:pPr>
      <w:r w:rsidRPr="00E128D3">
        <w:rPr>
          <w:b/>
          <w:bCs/>
        </w:rPr>
        <w:t>Loi n° 2026-403 du 26 mai 2026 de simplification de la vie économique</w:t>
      </w:r>
    </w:p>
    <w:p w14:paraId="017B1E54" w14:textId="6964C0B7" w:rsidR="00E128D3" w:rsidRPr="00E128D3" w:rsidRDefault="00E128D3" w:rsidP="00E128D3">
      <w:pPr>
        <w:spacing w:after="0" w:line="240" w:lineRule="auto"/>
      </w:pPr>
      <w:hyperlink r:id="rId66" w:history="1">
        <w:r w:rsidRPr="00E128D3">
          <w:rPr>
            <w:rStyle w:val="Lienhypertexte"/>
          </w:rPr>
          <w:t>https://www.legifrance.gouv.fr/jorf/id/JORFTEXT000054131304</w:t>
        </w:r>
      </w:hyperlink>
    </w:p>
    <w:p w14:paraId="6B473562" w14:textId="77777777" w:rsidR="00E128D3" w:rsidRPr="00E128D3" w:rsidRDefault="00E128D3" w:rsidP="00E128D3">
      <w:pPr>
        <w:spacing w:after="0" w:line="240" w:lineRule="auto"/>
        <w:rPr>
          <w:b/>
          <w:bCs/>
        </w:rPr>
      </w:pPr>
      <w:r w:rsidRPr="00E128D3">
        <w:rPr>
          <w:b/>
          <w:bCs/>
        </w:rPr>
        <w:t>Bail commercial</w:t>
      </w:r>
    </w:p>
    <w:p w14:paraId="1F61A91D" w14:textId="77777777"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145-1 à L. 145-60</w:t>
      </w:r>
    </w:p>
    <w:p w14:paraId="25D7EBA3" w14:textId="58466370" w:rsidR="00E128D3" w:rsidRPr="00E128D3" w:rsidRDefault="00E128D3" w:rsidP="00E128D3">
      <w:pPr>
        <w:spacing w:after="0" w:line="240" w:lineRule="auto"/>
      </w:pPr>
      <w:hyperlink r:id="rId67" w:history="1">
        <w:r w:rsidRPr="00E128D3">
          <w:rPr>
            <w:rStyle w:val="Lienhypertexte"/>
          </w:rPr>
          <w:t>https://www.legifrance.gouv.fr/codes/section_lc/LEGITEXT000005634379/LEGISCTA000006146040/</w:t>
        </w:r>
      </w:hyperlink>
    </w:p>
    <w:p w14:paraId="4FBDCC21" w14:textId="7CF805E2"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145-1 à L. 145-3</w:t>
      </w:r>
      <w:r>
        <w:rPr>
          <w:b/>
          <w:bCs/>
        </w:rPr>
        <w:t> :</w:t>
      </w:r>
      <w:r w:rsidRPr="00E128D3">
        <w:rPr>
          <w:b/>
          <w:bCs/>
        </w:rPr>
        <w:t xml:space="preserve"> champ d’application</w:t>
      </w:r>
    </w:p>
    <w:p w14:paraId="677794F8" w14:textId="00A186D2" w:rsidR="00E128D3" w:rsidRPr="00E128D3" w:rsidRDefault="00E128D3" w:rsidP="00E128D3">
      <w:pPr>
        <w:spacing w:after="0" w:line="240" w:lineRule="auto"/>
      </w:pPr>
      <w:hyperlink r:id="rId68" w:history="1">
        <w:r w:rsidRPr="00E128D3">
          <w:rPr>
            <w:rStyle w:val="Lienhypertexte"/>
          </w:rPr>
          <w:t>https://www.legifrance.gouv.fr/codes/section_lc/LEGITEXT000005634379/LEGISCTA000006161262/</w:t>
        </w:r>
      </w:hyperlink>
    </w:p>
    <w:p w14:paraId="02D6FF22" w14:textId="626F5876"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145-4 à L. 145-7-1</w:t>
      </w:r>
      <w:r>
        <w:rPr>
          <w:b/>
          <w:bCs/>
        </w:rPr>
        <w:t> :</w:t>
      </w:r>
      <w:r w:rsidRPr="00E128D3">
        <w:rPr>
          <w:b/>
          <w:bCs/>
        </w:rPr>
        <w:t xml:space="preserve"> durée</w:t>
      </w:r>
    </w:p>
    <w:p w14:paraId="719AD63E" w14:textId="3F4CDD6A" w:rsidR="00E128D3" w:rsidRPr="00E128D3" w:rsidRDefault="00E128D3" w:rsidP="00E128D3">
      <w:pPr>
        <w:spacing w:after="0" w:line="240" w:lineRule="auto"/>
      </w:pPr>
      <w:hyperlink r:id="rId69" w:history="1">
        <w:r w:rsidRPr="00E128D3">
          <w:rPr>
            <w:rStyle w:val="Lienhypertexte"/>
          </w:rPr>
          <w:t>https://www.legifrance.gouv.fr/codes/section_lc/LEGITEXT000005634379/LEGISCTA000006161263/</w:t>
        </w:r>
      </w:hyperlink>
    </w:p>
    <w:p w14:paraId="492D1FD4" w14:textId="26B8E48D"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145-8 à L. 145-12</w:t>
      </w:r>
      <w:r>
        <w:rPr>
          <w:b/>
          <w:bCs/>
        </w:rPr>
        <w:t> :</w:t>
      </w:r>
      <w:r w:rsidRPr="00E128D3">
        <w:rPr>
          <w:b/>
          <w:bCs/>
        </w:rPr>
        <w:t xml:space="preserve"> renouvellement</w:t>
      </w:r>
    </w:p>
    <w:p w14:paraId="5C19F4CB" w14:textId="0D0663BE" w:rsidR="00E128D3" w:rsidRPr="00E128D3" w:rsidRDefault="00E128D3" w:rsidP="00E128D3">
      <w:pPr>
        <w:spacing w:after="0" w:line="240" w:lineRule="auto"/>
      </w:pPr>
      <w:hyperlink r:id="rId70" w:history="1">
        <w:r w:rsidRPr="00E128D3">
          <w:rPr>
            <w:rStyle w:val="Lienhypertexte"/>
          </w:rPr>
          <w:t>https://www.legifrance.gouv.fr/codes/section_lc/LEGITEXT000005634379/LEGISCTA000006161264/</w:t>
        </w:r>
      </w:hyperlink>
    </w:p>
    <w:p w14:paraId="01F2C405" w14:textId="0381DD80"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145-14 à L. 145-30</w:t>
      </w:r>
      <w:r>
        <w:rPr>
          <w:b/>
          <w:bCs/>
        </w:rPr>
        <w:t> :</w:t>
      </w:r>
      <w:r w:rsidRPr="00E128D3">
        <w:rPr>
          <w:b/>
          <w:bCs/>
        </w:rPr>
        <w:t xml:space="preserve"> refus de renouvellement et indemnité d’éviction</w:t>
      </w:r>
    </w:p>
    <w:p w14:paraId="6AD0FBB7" w14:textId="632AF480" w:rsidR="00E128D3" w:rsidRPr="00E128D3" w:rsidRDefault="00E128D3" w:rsidP="00E128D3">
      <w:pPr>
        <w:spacing w:after="0" w:line="240" w:lineRule="auto"/>
      </w:pPr>
      <w:hyperlink r:id="rId71" w:history="1">
        <w:r w:rsidRPr="00E128D3">
          <w:rPr>
            <w:rStyle w:val="Lienhypertexte"/>
          </w:rPr>
          <w:t>https://www.legifrance.gouv.fr/codes/section_lc/LEGITEXT000005634379/LEGISCTA000006161265/</w:t>
        </w:r>
      </w:hyperlink>
    </w:p>
    <w:p w14:paraId="6D6DCDA2" w14:textId="3407B91B"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145-33 à L. 145-40</w:t>
      </w:r>
      <w:r>
        <w:rPr>
          <w:b/>
          <w:bCs/>
        </w:rPr>
        <w:t> :</w:t>
      </w:r>
      <w:r w:rsidRPr="00E128D3">
        <w:rPr>
          <w:b/>
          <w:bCs/>
        </w:rPr>
        <w:t xml:space="preserve"> loyer</w:t>
      </w:r>
    </w:p>
    <w:p w14:paraId="6E5591DD" w14:textId="5956AE69" w:rsidR="00E128D3" w:rsidRPr="00E128D3" w:rsidRDefault="00E128D3" w:rsidP="00E128D3">
      <w:pPr>
        <w:spacing w:after="0" w:line="240" w:lineRule="auto"/>
      </w:pPr>
      <w:hyperlink r:id="rId72" w:history="1">
        <w:r w:rsidRPr="00E128D3">
          <w:rPr>
            <w:rStyle w:val="Lienhypertexte"/>
          </w:rPr>
          <w:t>https://www.legifrance.gouv.fr/codes/section_lc/LEGITEXT000005634379/LEGISCTA000006161267/</w:t>
        </w:r>
      </w:hyperlink>
    </w:p>
    <w:p w14:paraId="6B2653B3" w14:textId="07A6FB93" w:rsidR="00E128D3" w:rsidRDefault="00E128D3" w:rsidP="00E128D3">
      <w:pPr>
        <w:spacing w:after="0" w:line="240" w:lineRule="auto"/>
      </w:pPr>
      <w:r w:rsidRPr="00E128D3">
        <w:rPr>
          <w:b/>
          <w:bCs/>
        </w:rPr>
        <w:t xml:space="preserve">Code de commerce </w:t>
      </w:r>
      <w:r>
        <w:rPr>
          <w:b/>
          <w:bCs/>
        </w:rPr>
        <w:t>-</w:t>
      </w:r>
      <w:r w:rsidRPr="00E128D3">
        <w:rPr>
          <w:b/>
          <w:bCs/>
        </w:rPr>
        <w:t xml:space="preserve"> article L. 145-40-2</w:t>
      </w:r>
      <w:r>
        <w:rPr>
          <w:b/>
          <w:bCs/>
        </w:rPr>
        <w:t> :</w:t>
      </w:r>
      <w:r w:rsidRPr="00E128D3">
        <w:rPr>
          <w:b/>
          <w:bCs/>
        </w:rPr>
        <w:t xml:space="preserve"> charges, impôts, taxes et redevances</w:t>
      </w:r>
    </w:p>
    <w:p w14:paraId="63C9CB30" w14:textId="2876A861" w:rsidR="00E128D3" w:rsidRPr="00E128D3" w:rsidRDefault="00E128D3" w:rsidP="00E128D3">
      <w:pPr>
        <w:spacing w:after="0" w:line="240" w:lineRule="auto"/>
      </w:pPr>
      <w:hyperlink r:id="rId73" w:history="1">
        <w:r w:rsidRPr="00E128D3">
          <w:rPr>
            <w:rStyle w:val="Lienhypertexte"/>
          </w:rPr>
          <w:t>https://www.legifrance.gouv.fr/codes/article_lc/LEGIARTI000029103688</w:t>
        </w:r>
      </w:hyperlink>
    </w:p>
    <w:p w14:paraId="362755D7" w14:textId="2CDACE06" w:rsidR="00E128D3" w:rsidRDefault="00E128D3" w:rsidP="00E128D3">
      <w:pPr>
        <w:spacing w:after="0" w:line="240" w:lineRule="auto"/>
      </w:pPr>
      <w:r w:rsidRPr="00E128D3">
        <w:rPr>
          <w:b/>
          <w:bCs/>
        </w:rPr>
        <w:t xml:space="preserve">Code de commerce </w:t>
      </w:r>
      <w:r>
        <w:rPr>
          <w:b/>
          <w:bCs/>
        </w:rPr>
        <w:t>-</w:t>
      </w:r>
      <w:r w:rsidRPr="00E128D3">
        <w:rPr>
          <w:b/>
          <w:bCs/>
        </w:rPr>
        <w:t xml:space="preserve"> article L. 145-41</w:t>
      </w:r>
      <w:r>
        <w:rPr>
          <w:b/>
          <w:bCs/>
        </w:rPr>
        <w:t> :</w:t>
      </w:r>
      <w:r w:rsidRPr="00E128D3">
        <w:rPr>
          <w:b/>
          <w:bCs/>
        </w:rPr>
        <w:t xml:space="preserve"> clause résolutoire</w:t>
      </w:r>
    </w:p>
    <w:p w14:paraId="4F84CCAC" w14:textId="3865D84A" w:rsidR="00E128D3" w:rsidRPr="00E128D3" w:rsidRDefault="00E128D3" w:rsidP="00E128D3">
      <w:pPr>
        <w:spacing w:after="0" w:line="240" w:lineRule="auto"/>
      </w:pPr>
      <w:hyperlink r:id="rId74" w:history="1">
        <w:r w:rsidRPr="00E128D3">
          <w:rPr>
            <w:rStyle w:val="Lienhypertexte"/>
          </w:rPr>
          <w:t>https://www.legifrance.gouv.fr/codes/article_lc/LEGIARTI000054142477</w:t>
        </w:r>
      </w:hyperlink>
    </w:p>
    <w:p w14:paraId="24CD1EAF" w14:textId="6B82859A"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145-47 à L. 145-55</w:t>
      </w:r>
      <w:r>
        <w:rPr>
          <w:b/>
          <w:bCs/>
        </w:rPr>
        <w:t> :</w:t>
      </w:r>
      <w:r w:rsidRPr="00E128D3">
        <w:rPr>
          <w:b/>
          <w:bCs/>
        </w:rPr>
        <w:t xml:space="preserve"> déspécialisation</w:t>
      </w:r>
    </w:p>
    <w:p w14:paraId="34ACD354" w14:textId="1E14F379" w:rsidR="00E128D3" w:rsidRPr="00E128D3" w:rsidRDefault="00E128D3" w:rsidP="00E128D3">
      <w:pPr>
        <w:spacing w:after="0" w:line="240" w:lineRule="auto"/>
      </w:pPr>
      <w:hyperlink r:id="rId75" w:history="1">
        <w:r w:rsidRPr="00E128D3">
          <w:rPr>
            <w:rStyle w:val="Lienhypertexte"/>
          </w:rPr>
          <w:t>https://www.legifrance.gouv.fr/codes/section_lc/LEGITEXT000005634379/LEGISCTA000006161269/</w:t>
        </w:r>
      </w:hyperlink>
    </w:p>
    <w:p w14:paraId="76EF3BBE" w14:textId="4F1F7F2D" w:rsidR="00E128D3" w:rsidRDefault="00E128D3" w:rsidP="00E128D3">
      <w:pPr>
        <w:spacing w:after="0" w:line="240" w:lineRule="auto"/>
      </w:pPr>
      <w:r w:rsidRPr="00E128D3">
        <w:rPr>
          <w:b/>
          <w:bCs/>
        </w:rPr>
        <w:t xml:space="preserve">Code de commerce </w:t>
      </w:r>
      <w:r>
        <w:rPr>
          <w:b/>
          <w:bCs/>
        </w:rPr>
        <w:t>-</w:t>
      </w:r>
      <w:r w:rsidRPr="00E128D3">
        <w:rPr>
          <w:b/>
          <w:bCs/>
        </w:rPr>
        <w:t xml:space="preserve"> article L. 145-16</w:t>
      </w:r>
      <w:r>
        <w:rPr>
          <w:b/>
          <w:bCs/>
        </w:rPr>
        <w:t> :</w:t>
      </w:r>
      <w:r w:rsidRPr="00E128D3">
        <w:rPr>
          <w:b/>
          <w:bCs/>
        </w:rPr>
        <w:t xml:space="preserve"> cession du bail avec le fonds</w:t>
      </w:r>
    </w:p>
    <w:p w14:paraId="6534061F" w14:textId="6C1EDC1D" w:rsidR="00E128D3" w:rsidRPr="00E128D3" w:rsidRDefault="00E128D3" w:rsidP="00E128D3">
      <w:pPr>
        <w:spacing w:after="0" w:line="240" w:lineRule="auto"/>
      </w:pPr>
      <w:hyperlink r:id="rId76" w:history="1">
        <w:r w:rsidRPr="00E128D3">
          <w:rPr>
            <w:rStyle w:val="Lienhypertexte"/>
          </w:rPr>
          <w:t>https://www.legifrance.gouv.fr/codes/article_lc/LEGIARTI000029108741</w:t>
        </w:r>
      </w:hyperlink>
    </w:p>
    <w:p w14:paraId="26754B56" w14:textId="797CA669" w:rsidR="00E128D3" w:rsidRDefault="00E128D3" w:rsidP="00E128D3">
      <w:pPr>
        <w:spacing w:after="0" w:line="240" w:lineRule="auto"/>
      </w:pPr>
      <w:r w:rsidRPr="00E128D3">
        <w:rPr>
          <w:b/>
          <w:bCs/>
        </w:rPr>
        <w:t xml:space="preserve">Code de commerce </w:t>
      </w:r>
      <w:r>
        <w:rPr>
          <w:b/>
          <w:bCs/>
        </w:rPr>
        <w:t>-</w:t>
      </w:r>
      <w:r w:rsidRPr="00E128D3">
        <w:rPr>
          <w:b/>
          <w:bCs/>
        </w:rPr>
        <w:t xml:space="preserve"> article L. 145-16-2</w:t>
      </w:r>
      <w:r>
        <w:rPr>
          <w:b/>
          <w:bCs/>
        </w:rPr>
        <w:t> :</w:t>
      </w:r>
      <w:r w:rsidRPr="00E128D3">
        <w:rPr>
          <w:b/>
          <w:bCs/>
        </w:rPr>
        <w:t xml:space="preserve"> durée de la garantie du cédant</w:t>
      </w:r>
    </w:p>
    <w:p w14:paraId="17DBAD7A" w14:textId="52D3E7ED" w:rsidR="00E128D3" w:rsidRPr="00E128D3" w:rsidRDefault="00E128D3" w:rsidP="00E128D3">
      <w:pPr>
        <w:spacing w:after="0" w:line="240" w:lineRule="auto"/>
      </w:pPr>
      <w:hyperlink r:id="rId77" w:history="1">
        <w:r w:rsidRPr="00E128D3">
          <w:rPr>
            <w:rStyle w:val="Lienhypertexte"/>
          </w:rPr>
          <w:t>https://www.legifrance.gouv.fr/codes/article_lc/LEGIARTI000029103418</w:t>
        </w:r>
      </w:hyperlink>
    </w:p>
    <w:p w14:paraId="02A13DD1" w14:textId="7B0733B3" w:rsidR="00E128D3" w:rsidRDefault="00E128D3" w:rsidP="00E128D3">
      <w:pPr>
        <w:spacing w:after="0" w:line="240" w:lineRule="auto"/>
      </w:pPr>
      <w:r w:rsidRPr="00E128D3">
        <w:rPr>
          <w:b/>
          <w:bCs/>
        </w:rPr>
        <w:t xml:space="preserve">Code de commerce </w:t>
      </w:r>
      <w:r>
        <w:rPr>
          <w:b/>
          <w:bCs/>
        </w:rPr>
        <w:t>-</w:t>
      </w:r>
      <w:r w:rsidRPr="00E128D3">
        <w:rPr>
          <w:b/>
          <w:bCs/>
        </w:rPr>
        <w:t xml:space="preserve"> articles L. 145-31 et L. 145-32</w:t>
      </w:r>
      <w:r>
        <w:rPr>
          <w:b/>
          <w:bCs/>
        </w:rPr>
        <w:t> :</w:t>
      </w:r>
      <w:r w:rsidRPr="00E128D3">
        <w:rPr>
          <w:b/>
          <w:bCs/>
        </w:rPr>
        <w:t xml:space="preserve"> sous-location</w:t>
      </w:r>
    </w:p>
    <w:p w14:paraId="33C7DC64" w14:textId="77777777" w:rsidR="00E128D3" w:rsidRDefault="00E128D3" w:rsidP="00E128D3">
      <w:pPr>
        <w:spacing w:after="0" w:line="240" w:lineRule="auto"/>
      </w:pPr>
      <w:hyperlink r:id="rId78" w:history="1">
        <w:r w:rsidRPr="00E128D3">
          <w:rPr>
            <w:rStyle w:val="Lienhypertexte"/>
          </w:rPr>
          <w:t>https://www.legifrance.gouv.fr/codes/section_lc/LEGITEXT000005634379/LEGISCTA000006161266/</w:t>
        </w:r>
      </w:hyperlink>
    </w:p>
    <w:p w14:paraId="710D3BA6" w14:textId="1855EF3E" w:rsidR="000411E3" w:rsidRPr="00AF7BE7" w:rsidRDefault="000411E3" w:rsidP="00E128D3">
      <w:pPr>
        <w:spacing w:after="0" w:line="240" w:lineRule="auto"/>
      </w:pPr>
    </w:p>
    <w:sectPr w:rsidR="000411E3" w:rsidRPr="00AF7BE7" w:rsidSect="00E128D3">
      <w:footerReference w:type="default" r:id="rId7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93D85" w14:textId="77777777" w:rsidR="00CB4356" w:rsidRDefault="00CB4356" w:rsidP="00B870C7">
      <w:r>
        <w:separator/>
      </w:r>
    </w:p>
  </w:endnote>
  <w:endnote w:type="continuationSeparator" w:id="0">
    <w:p w14:paraId="5F7D149C" w14:textId="77777777" w:rsidR="00CB4356" w:rsidRDefault="00CB4356"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03DE5" w14:textId="77777777" w:rsidR="00CB4356" w:rsidRDefault="00CB4356" w:rsidP="00B870C7">
      <w:r>
        <w:separator/>
      </w:r>
    </w:p>
  </w:footnote>
  <w:footnote w:type="continuationSeparator" w:id="0">
    <w:p w14:paraId="4BF53BFB" w14:textId="77777777" w:rsidR="00CB4356" w:rsidRDefault="00CB4356"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6CB"/>
    <w:multiLevelType w:val="multilevel"/>
    <w:tmpl w:val="414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C56D1"/>
    <w:multiLevelType w:val="multilevel"/>
    <w:tmpl w:val="9436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12678"/>
    <w:multiLevelType w:val="multilevel"/>
    <w:tmpl w:val="E800F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D4E21"/>
    <w:multiLevelType w:val="multilevel"/>
    <w:tmpl w:val="004E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17798"/>
    <w:multiLevelType w:val="multilevel"/>
    <w:tmpl w:val="8C12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309D8"/>
    <w:multiLevelType w:val="multilevel"/>
    <w:tmpl w:val="8960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F27FD"/>
    <w:multiLevelType w:val="multilevel"/>
    <w:tmpl w:val="874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82C7D"/>
    <w:multiLevelType w:val="multilevel"/>
    <w:tmpl w:val="D746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614F9"/>
    <w:multiLevelType w:val="multilevel"/>
    <w:tmpl w:val="7318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E5F1C"/>
    <w:multiLevelType w:val="multilevel"/>
    <w:tmpl w:val="144E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94561"/>
    <w:multiLevelType w:val="multilevel"/>
    <w:tmpl w:val="A316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630093"/>
    <w:multiLevelType w:val="multilevel"/>
    <w:tmpl w:val="58B0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54171B"/>
    <w:multiLevelType w:val="multilevel"/>
    <w:tmpl w:val="4EB8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36EA7"/>
    <w:multiLevelType w:val="multilevel"/>
    <w:tmpl w:val="B0EE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B20A0"/>
    <w:multiLevelType w:val="multilevel"/>
    <w:tmpl w:val="7F9C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D56564"/>
    <w:multiLevelType w:val="multilevel"/>
    <w:tmpl w:val="111C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A40F1A"/>
    <w:multiLevelType w:val="multilevel"/>
    <w:tmpl w:val="FF20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146449"/>
    <w:multiLevelType w:val="multilevel"/>
    <w:tmpl w:val="10F6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670F2F"/>
    <w:multiLevelType w:val="multilevel"/>
    <w:tmpl w:val="7F7E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BC701A"/>
    <w:multiLevelType w:val="multilevel"/>
    <w:tmpl w:val="C2F0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F0FC8"/>
    <w:multiLevelType w:val="multilevel"/>
    <w:tmpl w:val="3CC0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717484"/>
    <w:multiLevelType w:val="multilevel"/>
    <w:tmpl w:val="7F3A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35A31"/>
    <w:multiLevelType w:val="multilevel"/>
    <w:tmpl w:val="C91E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2C796F"/>
    <w:multiLevelType w:val="multilevel"/>
    <w:tmpl w:val="C518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2C1C81"/>
    <w:multiLevelType w:val="multilevel"/>
    <w:tmpl w:val="81C4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F55D20"/>
    <w:multiLevelType w:val="multilevel"/>
    <w:tmpl w:val="987A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03469E"/>
    <w:multiLevelType w:val="multilevel"/>
    <w:tmpl w:val="A73E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3D1257"/>
    <w:multiLevelType w:val="multilevel"/>
    <w:tmpl w:val="956C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D7290E"/>
    <w:multiLevelType w:val="multilevel"/>
    <w:tmpl w:val="8A6A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034F73"/>
    <w:multiLevelType w:val="multilevel"/>
    <w:tmpl w:val="85CE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6C0C1A"/>
    <w:multiLevelType w:val="multilevel"/>
    <w:tmpl w:val="F856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4E052B"/>
    <w:multiLevelType w:val="multilevel"/>
    <w:tmpl w:val="F990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A850AE"/>
    <w:multiLevelType w:val="multilevel"/>
    <w:tmpl w:val="CF0A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BE1D67"/>
    <w:multiLevelType w:val="multilevel"/>
    <w:tmpl w:val="3EFC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41411E"/>
    <w:multiLevelType w:val="multilevel"/>
    <w:tmpl w:val="9832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4F450B"/>
    <w:multiLevelType w:val="multilevel"/>
    <w:tmpl w:val="D740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99570">
    <w:abstractNumId w:val="14"/>
  </w:num>
  <w:num w:numId="2" w16cid:durableId="1889417864">
    <w:abstractNumId w:val="31"/>
  </w:num>
  <w:num w:numId="3" w16cid:durableId="550699266">
    <w:abstractNumId w:val="24"/>
  </w:num>
  <w:num w:numId="4" w16cid:durableId="999387745">
    <w:abstractNumId w:val="27"/>
  </w:num>
  <w:num w:numId="5" w16cid:durableId="727460199">
    <w:abstractNumId w:val="15"/>
  </w:num>
  <w:num w:numId="6" w16cid:durableId="246037673">
    <w:abstractNumId w:val="8"/>
  </w:num>
  <w:num w:numId="7" w16cid:durableId="1360623287">
    <w:abstractNumId w:val="33"/>
  </w:num>
  <w:num w:numId="8" w16cid:durableId="1643004986">
    <w:abstractNumId w:val="22"/>
  </w:num>
  <w:num w:numId="9" w16cid:durableId="1611471336">
    <w:abstractNumId w:val="16"/>
  </w:num>
  <w:num w:numId="10" w16cid:durableId="1079912632">
    <w:abstractNumId w:val="2"/>
  </w:num>
  <w:num w:numId="11" w16cid:durableId="1625578425">
    <w:abstractNumId w:val="30"/>
  </w:num>
  <w:num w:numId="12" w16cid:durableId="1356691070">
    <w:abstractNumId w:val="7"/>
  </w:num>
  <w:num w:numId="13" w16cid:durableId="437528358">
    <w:abstractNumId w:val="1"/>
  </w:num>
  <w:num w:numId="14" w16cid:durableId="2114743973">
    <w:abstractNumId w:val="5"/>
  </w:num>
  <w:num w:numId="15" w16cid:durableId="2085105264">
    <w:abstractNumId w:val="4"/>
  </w:num>
  <w:num w:numId="16" w16cid:durableId="1268585747">
    <w:abstractNumId w:val="26"/>
  </w:num>
  <w:num w:numId="17" w16cid:durableId="534929979">
    <w:abstractNumId w:val="20"/>
  </w:num>
  <w:num w:numId="18" w16cid:durableId="1638295218">
    <w:abstractNumId w:val="25"/>
  </w:num>
  <w:num w:numId="19" w16cid:durableId="251083996">
    <w:abstractNumId w:val="35"/>
  </w:num>
  <w:num w:numId="20" w16cid:durableId="1126267324">
    <w:abstractNumId w:val="6"/>
  </w:num>
  <w:num w:numId="21" w16cid:durableId="494692073">
    <w:abstractNumId w:val="32"/>
  </w:num>
  <w:num w:numId="22" w16cid:durableId="1331907465">
    <w:abstractNumId w:val="23"/>
  </w:num>
  <w:num w:numId="23" w16cid:durableId="267467996">
    <w:abstractNumId w:val="13"/>
  </w:num>
  <w:num w:numId="24" w16cid:durableId="1799493062">
    <w:abstractNumId w:val="11"/>
  </w:num>
  <w:num w:numId="25" w16cid:durableId="1284310557">
    <w:abstractNumId w:val="9"/>
  </w:num>
  <w:num w:numId="26" w16cid:durableId="1549535482">
    <w:abstractNumId w:val="19"/>
  </w:num>
  <w:num w:numId="27" w16cid:durableId="203753259">
    <w:abstractNumId w:val="10"/>
  </w:num>
  <w:num w:numId="28" w16cid:durableId="2108230451">
    <w:abstractNumId w:val="18"/>
  </w:num>
  <w:num w:numId="29" w16cid:durableId="98725399">
    <w:abstractNumId w:val="28"/>
  </w:num>
  <w:num w:numId="30" w16cid:durableId="521017252">
    <w:abstractNumId w:val="21"/>
  </w:num>
  <w:num w:numId="31" w16cid:durableId="1064065602">
    <w:abstractNumId w:val="12"/>
  </w:num>
  <w:num w:numId="32" w16cid:durableId="1132554576">
    <w:abstractNumId w:val="29"/>
  </w:num>
  <w:num w:numId="33" w16cid:durableId="2083868046">
    <w:abstractNumId w:val="0"/>
  </w:num>
  <w:num w:numId="34" w16cid:durableId="226839848">
    <w:abstractNumId w:val="3"/>
  </w:num>
  <w:num w:numId="35" w16cid:durableId="1877695643">
    <w:abstractNumId w:val="17"/>
  </w:num>
  <w:num w:numId="36" w16cid:durableId="925386082">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D6577"/>
    <w:rsid w:val="000E1BE8"/>
    <w:rsid w:val="000F1177"/>
    <w:rsid w:val="0013594E"/>
    <w:rsid w:val="00135CDD"/>
    <w:rsid w:val="00165962"/>
    <w:rsid w:val="001666DB"/>
    <w:rsid w:val="001B03F3"/>
    <w:rsid w:val="001B38AB"/>
    <w:rsid w:val="001C2E5A"/>
    <w:rsid w:val="001C77F9"/>
    <w:rsid w:val="001F5435"/>
    <w:rsid w:val="001F64D4"/>
    <w:rsid w:val="002439F2"/>
    <w:rsid w:val="0024722D"/>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B4D1C"/>
    <w:rsid w:val="003C4213"/>
    <w:rsid w:val="003D4892"/>
    <w:rsid w:val="003D6FF4"/>
    <w:rsid w:val="003E0E50"/>
    <w:rsid w:val="003E639A"/>
    <w:rsid w:val="003E73E6"/>
    <w:rsid w:val="003F7676"/>
    <w:rsid w:val="004203D1"/>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457C4"/>
    <w:rsid w:val="00764EBA"/>
    <w:rsid w:val="00777809"/>
    <w:rsid w:val="007A110E"/>
    <w:rsid w:val="007A1353"/>
    <w:rsid w:val="007D52B4"/>
    <w:rsid w:val="007E0E04"/>
    <w:rsid w:val="007E1FF6"/>
    <w:rsid w:val="007E5DF3"/>
    <w:rsid w:val="00800F72"/>
    <w:rsid w:val="00805CB0"/>
    <w:rsid w:val="00807899"/>
    <w:rsid w:val="00821279"/>
    <w:rsid w:val="008476EE"/>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D5433"/>
    <w:rsid w:val="00AF2265"/>
    <w:rsid w:val="00AF5111"/>
    <w:rsid w:val="00AF7BE7"/>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B4356"/>
    <w:rsid w:val="00CC4DE7"/>
    <w:rsid w:val="00CD4FB1"/>
    <w:rsid w:val="00D00629"/>
    <w:rsid w:val="00D0725D"/>
    <w:rsid w:val="00D431EB"/>
    <w:rsid w:val="00D503E9"/>
    <w:rsid w:val="00D53BAD"/>
    <w:rsid w:val="00DA6E3D"/>
    <w:rsid w:val="00DB4CD7"/>
    <w:rsid w:val="00DD28A8"/>
    <w:rsid w:val="00DD2902"/>
    <w:rsid w:val="00DE760B"/>
    <w:rsid w:val="00DF6DF4"/>
    <w:rsid w:val="00E01A0D"/>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section_lc/LEGITEXT000005634379/LEGISCTA000006161263/?utm_source=chatgpt.com" TargetMode="External"/><Relationship Id="rId21" Type="http://schemas.openxmlformats.org/officeDocument/2006/relationships/hyperlink" Target="https://www.legifrance.gouv.fr/codes/section_lc/LEGITEXT000005634379/LEGISCTA000006161262/?utm_source=chatgpt.com" TargetMode="External"/><Relationship Id="rId42" Type="http://schemas.openxmlformats.org/officeDocument/2006/relationships/hyperlink" Target="https://www.legifrance.gouv.fr/codes/section_lc/LEGITEXT000005634379/LEGISCTA000006161264/" TargetMode="External"/><Relationship Id="rId47" Type="http://schemas.openxmlformats.org/officeDocument/2006/relationships/hyperlink" Target="https://www.legifrance.gouv.fr/loda/article_lc/LEGIARTI000006221741/2006-06-09" TargetMode="External"/><Relationship Id="rId63" Type="http://schemas.openxmlformats.org/officeDocument/2006/relationships/hyperlink" Target="https://www.legifrance.gouv.fr/codes/section_lc/LEGITEXT000005634379/LEGISCTA000006146037/" TargetMode="External"/><Relationship Id="rId68" Type="http://schemas.openxmlformats.org/officeDocument/2006/relationships/hyperlink" Target="https://www.legifrance.gouv.fr/codes/section_lc/LEGITEXT000005634379/LEGISCTA000006161262/" TargetMode="External"/><Relationship Id="rId16" Type="http://schemas.openxmlformats.org/officeDocument/2006/relationships/hyperlink" Target="https://www.legifrance.gouv.fr/codes/id/LEGISCTA000006133174" TargetMode="External"/><Relationship Id="rId11" Type="http://schemas.openxmlformats.org/officeDocument/2006/relationships/hyperlink" Target="https://www.legifrance.gouv.fr/codes/article_lc/LEGIARTI000044072493/2026-03-20" TargetMode="External"/><Relationship Id="rId32" Type="http://schemas.openxmlformats.org/officeDocument/2006/relationships/hyperlink" Target="https://www.legifrance.gouv.fr/codes/article_lc/LEGIARTI000054137998?utm_source=chatgpt.com" TargetMode="External"/><Relationship Id="rId37" Type="http://schemas.openxmlformats.org/officeDocument/2006/relationships/hyperlink" Target="https://www.legifrance.gouv.fr/codes/article_lc/LEGIARTI000039280354?utm_source=chatgpt.com" TargetMode="External"/><Relationship Id="rId53" Type="http://schemas.openxmlformats.org/officeDocument/2006/relationships/hyperlink" Target="https://www.legifrance.gouv.fr/loda/article_lc/LEGIARTI000006221900/2026-07-24?utm_source=chatgpt.com" TargetMode="External"/><Relationship Id="rId58" Type="http://schemas.openxmlformats.org/officeDocument/2006/relationships/hyperlink" Target="https://www.legifrance.gouv.fr/codes/id/LEGISCTA000006133174" TargetMode="External"/><Relationship Id="rId74" Type="http://schemas.openxmlformats.org/officeDocument/2006/relationships/hyperlink" Target="https://www.legifrance.gouv.fr/codes/article_lc/LEGIARTI000054142477"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legifrance.gouv.fr/codes/section_lc/LEGITEXT000005634379/LEGISCTA000006133174/" TargetMode="External"/><Relationship Id="rId19" Type="http://schemas.openxmlformats.org/officeDocument/2006/relationships/hyperlink" Target="https://www.legifrance.gouv.fr/codes/section_lc/LEGITEXT000005634379/LEGISCTA000006146040/?utm_source=chatgpt.com" TargetMode="External"/><Relationship Id="rId14" Type="http://schemas.openxmlformats.org/officeDocument/2006/relationships/hyperlink" Target="https://www.legifrance.gouv.fr/codes/id/LEGISCTA000006133174" TargetMode="External"/><Relationship Id="rId22" Type="http://schemas.openxmlformats.org/officeDocument/2006/relationships/hyperlink" Target="https://www.legifrance.gouv.fr/codes/section_lc/LEGITEXT000005634379/LEGISCTA000006161263/?utm_source=chatgpt.com" TargetMode="External"/><Relationship Id="rId27" Type="http://schemas.openxmlformats.org/officeDocument/2006/relationships/hyperlink" Target="https://www.legifrance.gouv.fr/codes/id/LEGISCTA000006161263?utm_source=chatgpt.com" TargetMode="External"/><Relationship Id="rId30" Type="http://schemas.openxmlformats.org/officeDocument/2006/relationships/hyperlink" Target="https://www.legifrance.gouv.fr/codes/section_lc/LEGITEXT000005634379/LEGISCTA000006161267/2026-02-23?utm_source=chatgpt.com" TargetMode="External"/><Relationship Id="rId35" Type="http://schemas.openxmlformats.org/officeDocument/2006/relationships/hyperlink" Target="https://www.legifrance.gouv.fr/codes/section_lc/LEGITEXT000005634379/LEGISCTA000006161269/" TargetMode="External"/><Relationship Id="rId43" Type="http://schemas.openxmlformats.org/officeDocument/2006/relationships/hyperlink" Target="https://www.legifrance.gouv.fr/codes/section_lc/LEGITEXT000005634379/LEGISCTA000006161264/" TargetMode="External"/><Relationship Id="rId48" Type="http://schemas.openxmlformats.org/officeDocument/2006/relationships/hyperlink" Target="https://www.legifrance.gouv.fr/loda/article_lc/LEGIARTI000006221741/2006-06-09" TargetMode="External"/><Relationship Id="rId56" Type="http://schemas.openxmlformats.org/officeDocument/2006/relationships/hyperlink" Target="https://www.legifrance.gouv.fr/codes/article_lc/LEGIARTI000054142450?utm_source=chatgpt.com" TargetMode="External"/><Relationship Id="rId64" Type="http://schemas.openxmlformats.org/officeDocument/2006/relationships/hyperlink" Target="https://www.legifrance.gouv.fr/juri/id/JURITEXT000036803301" TargetMode="External"/><Relationship Id="rId69" Type="http://schemas.openxmlformats.org/officeDocument/2006/relationships/hyperlink" Target="https://www.legifrance.gouv.fr/codes/section_lc/LEGITEXT000005634379/LEGISCTA000006161263/" TargetMode="External"/><Relationship Id="rId77" Type="http://schemas.openxmlformats.org/officeDocument/2006/relationships/hyperlink" Target="https://www.legifrance.gouv.fr/codes/article_lc/LEGIARTI000029103418" TargetMode="External"/><Relationship Id="rId8" Type="http://schemas.openxmlformats.org/officeDocument/2006/relationships/hyperlink" Target="https://www.legifrance.gouv.fr/juri/id/JURITEXT000036803301" TargetMode="External"/><Relationship Id="rId51" Type="http://schemas.openxmlformats.org/officeDocument/2006/relationships/hyperlink" Target="https://www.legifrance.gouv.fr/codes/article_lc/LEGIARTI000029108741" TargetMode="External"/><Relationship Id="rId72" Type="http://schemas.openxmlformats.org/officeDocument/2006/relationships/hyperlink" Target="https://www.legifrance.gouv.fr/codes/section_lc/LEGITEXT000005634379/LEGISCTA000006161267/"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legifrance.gouv.fr/codes/id/LEGISCTA000006133174" TargetMode="External"/><Relationship Id="rId17" Type="http://schemas.openxmlformats.org/officeDocument/2006/relationships/hyperlink" Target="https://www.legifrance.gouv.fr/codes/article_lc/LEGIARTI000044072493/2026-03-20" TargetMode="External"/><Relationship Id="rId25" Type="http://schemas.openxmlformats.org/officeDocument/2006/relationships/hyperlink" Target="https://www.legifrance.gouv.fr/codes/section_lc/LEGITEXT000005634379/LEGISCTA000006161263/?utm_source=chatgpt.com" TargetMode="External"/><Relationship Id="rId33" Type="http://schemas.openxmlformats.org/officeDocument/2006/relationships/hyperlink" Target="https://www.legifrance.gouv.fr/codes/article_lc/LEGIARTI000029103688?utm_source=chatgpt.com" TargetMode="External"/><Relationship Id="rId38" Type="http://schemas.openxmlformats.org/officeDocument/2006/relationships/hyperlink" Target="https://www.legifrance.gouv.fr/loda/article_lc/LEGIARTI000006222142/2005-07-26?utm_source=chatgpt.com" TargetMode="External"/><Relationship Id="rId46" Type="http://schemas.openxmlformats.org/officeDocument/2006/relationships/hyperlink" Target="https://www.legifrance.gouv.fr/loda/article_lc/LEGIARTI000006221741/2006-06-09" TargetMode="External"/><Relationship Id="rId59" Type="http://schemas.openxmlformats.org/officeDocument/2006/relationships/hyperlink" Target="https://www.legifrance.gouv.fr/codes/article_lc/LEGIARTI000053151456/2026-09-01?utm_source=chatgpt.com" TargetMode="External"/><Relationship Id="rId67" Type="http://schemas.openxmlformats.org/officeDocument/2006/relationships/hyperlink" Target="https://www.legifrance.gouv.fr/codes/section_lc/LEGITEXT000005634379/LEGISCTA000006146040/" TargetMode="External"/><Relationship Id="rId20" Type="http://schemas.openxmlformats.org/officeDocument/2006/relationships/hyperlink" Target="https://www.legifrance.gouv.fr/codes/section_lc/LEGITEXT000005634379/LEGISCTA000006146040/?utm_source=chatgpt.com" TargetMode="External"/><Relationship Id="rId41" Type="http://schemas.openxmlformats.org/officeDocument/2006/relationships/hyperlink" Target="https://www.legifrance.gouv.fr/codes/section_lc/LEGITEXT000005634379/LEGISCTA000006161264/" TargetMode="External"/><Relationship Id="rId54" Type="http://schemas.openxmlformats.org/officeDocument/2006/relationships/hyperlink" Target="https://www.legifrance.gouv.fr/codes/section_lc/LEGITEXT000005634379/LEGISCTA000006161268/2026-07-01" TargetMode="External"/><Relationship Id="rId62" Type="http://schemas.openxmlformats.org/officeDocument/2006/relationships/hyperlink" Target="https://www.legifrance.gouv.fr/codes/article_lc/LEGIARTI000044072493" TargetMode="External"/><Relationship Id="rId70" Type="http://schemas.openxmlformats.org/officeDocument/2006/relationships/hyperlink" Target="https://www.legifrance.gouv.fr/codes/section_lc/LEGITEXT000005634379/LEGISCTA000006161264/" TargetMode="External"/><Relationship Id="rId75" Type="http://schemas.openxmlformats.org/officeDocument/2006/relationships/hyperlink" Target="https://www.legifrance.gouv.fr/codes/section_lc/LEGITEXT000005634379/LEGISCTA00000616126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id/LEGISCTA000006133174" TargetMode="External"/><Relationship Id="rId23" Type="http://schemas.openxmlformats.org/officeDocument/2006/relationships/hyperlink" Target="https://www.legifrance.gouv.fr/codes/section_lc/LEGITEXT000005634379/LEGISCTA000006161263/?utm_source=chatgpt.com" TargetMode="External"/><Relationship Id="rId28" Type="http://schemas.openxmlformats.org/officeDocument/2006/relationships/hyperlink" Target="https://www.legifrance.gouv.fr/codes/id/LEGISCTA000006161267/2023-01-11/?utm_source=chatgpt.com" TargetMode="External"/><Relationship Id="rId36" Type="http://schemas.openxmlformats.org/officeDocument/2006/relationships/hyperlink" Target="https://www.legifrance.gouv.fr/codes/section_lc/LEGITEXT000005634379/LEGISCTA000006161269/" TargetMode="External"/><Relationship Id="rId49" Type="http://schemas.openxmlformats.org/officeDocument/2006/relationships/hyperlink" Target="https://www.legifrance.gouv.fr/codes/section_lc/LEGITEXT000005634379/LEGISCTA000006146040/2000-09-21?utm_source=chatgpt.com" TargetMode="External"/><Relationship Id="rId57" Type="http://schemas.openxmlformats.org/officeDocument/2006/relationships/hyperlink" Target="https://www.legifrance.gouv.fr/codes/id/LEGISCTA000006133174" TargetMode="External"/><Relationship Id="rId10" Type="http://schemas.openxmlformats.org/officeDocument/2006/relationships/hyperlink" Target="https://www.legifrance.gouv.fr/codes/article_lc/LEGIARTI000044072493/2026-03-20" TargetMode="External"/><Relationship Id="rId31" Type="http://schemas.openxmlformats.org/officeDocument/2006/relationships/hyperlink" Target="https://www.legifrance.gouv.fr/codes/article_lc/LEGIARTI000054137998?utm_source=chatgpt.com" TargetMode="External"/><Relationship Id="rId44" Type="http://schemas.openxmlformats.org/officeDocument/2006/relationships/hyperlink" Target="https://www.legifrance.gouv.fr/codes/section_lc/LEGITEXT000005634379/LEGISCTA000006161264/" TargetMode="External"/><Relationship Id="rId52" Type="http://schemas.openxmlformats.org/officeDocument/2006/relationships/hyperlink" Target="https://www.legifrance.gouv.fr/codes/article_lc/LEGIARTI000029103418?utm_source=chatgpt.com" TargetMode="External"/><Relationship Id="rId60" Type="http://schemas.openxmlformats.org/officeDocument/2006/relationships/hyperlink" Target="https://www.legifrance.gouv.fr/codes/section_lc/LEGITEXT000005634379/LEGISCTA000006133174/" TargetMode="External"/><Relationship Id="rId65" Type="http://schemas.openxmlformats.org/officeDocument/2006/relationships/hyperlink" Target="https://www.legifrance.gouv.fr/codes/section_lc/LEGITEXT000005634379/LEGISCTA000006133174/" TargetMode="External"/><Relationship Id="rId73" Type="http://schemas.openxmlformats.org/officeDocument/2006/relationships/hyperlink" Target="https://www.legifrance.gouv.fr/codes/article_lc/LEGIARTI000029103688" TargetMode="External"/><Relationship Id="rId78" Type="http://schemas.openxmlformats.org/officeDocument/2006/relationships/hyperlink" Target="https://www.legifrance.gouv.fr/codes/section_lc/LEGITEXT000005634379/LEGISCTA000006161266/"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france.gouv.fr/codes/article_lc/LEGIARTI000044072493/2026-03-20" TargetMode="External"/><Relationship Id="rId13" Type="http://schemas.openxmlformats.org/officeDocument/2006/relationships/hyperlink" Target="https://www.legifrance.gouv.fr/codes/id/LEGISCTA000006133174" TargetMode="External"/><Relationship Id="rId18" Type="http://schemas.openxmlformats.org/officeDocument/2006/relationships/hyperlink" Target="https://www.legifrance.gouv.fr/codes/article_lc/LEGIARTI000044072493/2026-03-20" TargetMode="External"/><Relationship Id="rId39" Type="http://schemas.openxmlformats.org/officeDocument/2006/relationships/hyperlink" Target="https://www.legifrance.gouv.fr/codes/section_lc/LEGITEXT000005634379/LEGISCTA000006161264/" TargetMode="External"/><Relationship Id="rId34" Type="http://schemas.openxmlformats.org/officeDocument/2006/relationships/hyperlink" Target="https://www.legifrance.gouv.fr/codes/article_lc/LEGIARTI000039280354?utm_source=chatgpt.com" TargetMode="External"/><Relationship Id="rId50" Type="http://schemas.openxmlformats.org/officeDocument/2006/relationships/hyperlink" Target="https://www.legifrance.gouv.fr/codes/article_lc/LEGIARTI000029108741" TargetMode="External"/><Relationship Id="rId55" Type="http://schemas.openxmlformats.org/officeDocument/2006/relationships/hyperlink" Target="https://www.legifrance.gouv.fr/codes/section_lc/LEGITEXT000005634379/LEGISCTA000006161268/2026-07-01" TargetMode="External"/><Relationship Id="rId76" Type="http://schemas.openxmlformats.org/officeDocument/2006/relationships/hyperlink" Target="https://www.legifrance.gouv.fr/codes/article_lc/LEGIARTI000029108741" TargetMode="External"/><Relationship Id="rId7" Type="http://schemas.openxmlformats.org/officeDocument/2006/relationships/hyperlink" Target="https://www.legifrance.gouv.fr/juri/id/JURITEXT000036803301" TargetMode="External"/><Relationship Id="rId71" Type="http://schemas.openxmlformats.org/officeDocument/2006/relationships/hyperlink" Target="https://www.legifrance.gouv.fr/codes/section_lc/LEGITEXT000005634379/LEGISCTA000006161265/" TargetMode="External"/><Relationship Id="rId2" Type="http://schemas.openxmlformats.org/officeDocument/2006/relationships/styles" Target="styles.xml"/><Relationship Id="rId29" Type="http://schemas.openxmlformats.org/officeDocument/2006/relationships/hyperlink" Target="https://www.legifrance.gouv.fr/codes/article_lc/LEGIARTI000029108753?utm_source=chatgpt.com" TargetMode="External"/><Relationship Id="rId24" Type="http://schemas.openxmlformats.org/officeDocument/2006/relationships/hyperlink" Target="https://www.legifrance.gouv.fr/codes/section_lc/LEGITEXT000005634379/LEGISCTA000006161263/?utm_source=chatgpt.com" TargetMode="External"/><Relationship Id="rId40" Type="http://schemas.openxmlformats.org/officeDocument/2006/relationships/hyperlink" Target="https://www.legifrance.gouv.fr/codes/section_lc/LEGITEXT000005634379/LEGISCTA000006161264/" TargetMode="External"/><Relationship Id="rId45" Type="http://schemas.openxmlformats.org/officeDocument/2006/relationships/hyperlink" Target="https://www.legifrance.gouv.fr/loda/article_lc/LEGIARTI000006221741/2006-06-09" TargetMode="External"/><Relationship Id="rId66" Type="http://schemas.openxmlformats.org/officeDocument/2006/relationships/hyperlink" Target="https://www.legifrance.gouv.fr/jorf/id/JORFTEXT00005413130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6875</Words>
  <Characters>37817</Characters>
  <Application>Microsoft Office Word</Application>
  <DocSecurity>0</DocSecurity>
  <Lines>315</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2026-08-12T11:48:00Z</dcterms:created>
  <dcterms:modified xsi:type="dcterms:W3CDTF">2026-08-12T11:57:00Z</dcterms:modified>
</cp:coreProperties>
</file>