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6B91E5" w14:textId="0831F87C" w:rsidR="00AC05BA" w:rsidRPr="00AC05BA" w:rsidRDefault="00AC05BA" w:rsidP="00AC05BA">
      <w:pPr>
        <w:pStyle w:val="Titre1"/>
        <w:spacing w:before="0" w:after="0" w:line="240" w:lineRule="auto"/>
      </w:pPr>
      <w:r w:rsidRPr="00AC05BA">
        <w:t xml:space="preserve">Fiche 9 </w:t>
      </w:r>
      <w:r>
        <w:t>-</w:t>
      </w:r>
      <w:r w:rsidRPr="00AC05BA">
        <w:t xml:space="preserve"> Le financement et les opérations sur le capital</w:t>
      </w:r>
    </w:p>
    <w:p w14:paraId="72C8AF91" w14:textId="3B4820B6" w:rsidR="00AC05BA" w:rsidRPr="00AC05BA" w:rsidRDefault="00AC05BA" w:rsidP="00AC05BA">
      <w:pPr>
        <w:spacing w:after="0" w:line="240" w:lineRule="auto"/>
      </w:pPr>
      <w:r w:rsidRPr="00AC05BA">
        <w:rPr>
          <w:b/>
          <w:bCs/>
        </w:rPr>
        <w:t>Mise à jour</w:t>
      </w:r>
      <w:r>
        <w:rPr>
          <w:b/>
          <w:bCs/>
        </w:rPr>
        <w:t> :</w:t>
      </w:r>
      <w:r w:rsidRPr="00AC05BA">
        <w:rPr>
          <w:b/>
          <w:bCs/>
        </w:rPr>
        <w:t xml:space="preserve"> 12 août 2026</w:t>
      </w:r>
    </w:p>
    <w:p w14:paraId="1804426B" w14:textId="77777777" w:rsidR="00AC05BA" w:rsidRPr="00AC05BA" w:rsidRDefault="00AC05BA" w:rsidP="00AC05BA">
      <w:pPr>
        <w:pStyle w:val="Titre1"/>
      </w:pPr>
      <w:r w:rsidRPr="00AC05BA">
        <w:t>1. Le financement de la société peut provenir des associés ou de créanciers</w:t>
      </w:r>
    </w:p>
    <w:p w14:paraId="7674B658" w14:textId="19A57FE9" w:rsidR="00AC05BA" w:rsidRPr="00AC05BA" w:rsidRDefault="00AC05BA" w:rsidP="00AC05BA">
      <w:pPr>
        <w:spacing w:after="0" w:line="240" w:lineRule="auto"/>
      </w:pPr>
      <w:r w:rsidRPr="00AC05BA">
        <w:t>Une société peut financer son développement selon deux logiques juridiques principales</w:t>
      </w:r>
      <w:r>
        <w:t> :</w:t>
      </w:r>
    </w:p>
    <w:tbl>
      <w:tblPr>
        <w:tblStyle w:val="Grilledutableau"/>
        <w:tblW w:w="0" w:type="auto"/>
        <w:tblLook w:val="04A0" w:firstRow="1" w:lastRow="0" w:firstColumn="1" w:lastColumn="0" w:noHBand="0" w:noVBand="1"/>
      </w:tblPr>
      <w:tblGrid>
        <w:gridCol w:w="2341"/>
        <w:gridCol w:w="2058"/>
        <w:gridCol w:w="4537"/>
      </w:tblGrid>
      <w:tr w:rsidR="00AC05BA" w:rsidRPr="00AC05BA" w14:paraId="772AB002" w14:textId="77777777" w:rsidTr="00AC05BA">
        <w:trPr>
          <w:tblHeader/>
        </w:trPr>
        <w:tc>
          <w:tcPr>
            <w:tcW w:w="0" w:type="auto"/>
            <w:hideMark/>
          </w:tcPr>
          <w:p w14:paraId="76844600" w14:textId="77777777" w:rsidR="00AC05BA" w:rsidRPr="00AC05BA" w:rsidRDefault="00AC05BA" w:rsidP="00AC05BA">
            <w:pPr>
              <w:jc w:val="left"/>
              <w:rPr>
                <w:rFonts w:ascii="Calibri" w:hAnsi="Calibri" w:cs="Calibri"/>
                <w:b/>
                <w:bCs/>
                <w:sz w:val="20"/>
              </w:rPr>
            </w:pPr>
            <w:r w:rsidRPr="00AC05BA">
              <w:rPr>
                <w:rFonts w:ascii="Calibri" w:hAnsi="Calibri" w:cs="Calibri"/>
                <w:b/>
                <w:bCs/>
                <w:sz w:val="20"/>
              </w:rPr>
              <w:t>Financement</w:t>
            </w:r>
          </w:p>
        </w:tc>
        <w:tc>
          <w:tcPr>
            <w:tcW w:w="0" w:type="auto"/>
            <w:hideMark/>
          </w:tcPr>
          <w:p w14:paraId="4B7E6DE7" w14:textId="77777777" w:rsidR="00AC05BA" w:rsidRPr="00AC05BA" w:rsidRDefault="00AC05BA" w:rsidP="00AC05BA">
            <w:pPr>
              <w:jc w:val="left"/>
              <w:rPr>
                <w:rFonts w:ascii="Calibri" w:hAnsi="Calibri" w:cs="Calibri"/>
                <w:b/>
                <w:bCs/>
                <w:sz w:val="20"/>
              </w:rPr>
            </w:pPr>
            <w:r w:rsidRPr="00AC05BA">
              <w:rPr>
                <w:rFonts w:ascii="Calibri" w:hAnsi="Calibri" w:cs="Calibri"/>
                <w:b/>
                <w:bCs/>
                <w:sz w:val="20"/>
              </w:rPr>
              <w:t>Situation du financeur</w:t>
            </w:r>
          </w:p>
        </w:tc>
        <w:tc>
          <w:tcPr>
            <w:tcW w:w="0" w:type="auto"/>
            <w:hideMark/>
          </w:tcPr>
          <w:p w14:paraId="4C4B1327" w14:textId="77777777" w:rsidR="00AC05BA" w:rsidRPr="00AC05BA" w:rsidRDefault="00AC05BA" w:rsidP="00AC05BA">
            <w:pPr>
              <w:jc w:val="left"/>
              <w:rPr>
                <w:rFonts w:ascii="Calibri" w:hAnsi="Calibri" w:cs="Calibri"/>
                <w:b/>
                <w:bCs/>
                <w:sz w:val="20"/>
              </w:rPr>
            </w:pPr>
            <w:r w:rsidRPr="00AC05BA">
              <w:rPr>
                <w:rFonts w:ascii="Calibri" w:hAnsi="Calibri" w:cs="Calibri"/>
                <w:b/>
                <w:bCs/>
                <w:sz w:val="20"/>
              </w:rPr>
              <w:t>Conséquence essentielle</w:t>
            </w:r>
          </w:p>
        </w:tc>
      </w:tr>
      <w:tr w:rsidR="00AC05BA" w:rsidRPr="00AC05BA" w14:paraId="4013B781" w14:textId="77777777" w:rsidTr="00AC05BA">
        <w:tc>
          <w:tcPr>
            <w:tcW w:w="0" w:type="auto"/>
            <w:hideMark/>
          </w:tcPr>
          <w:p w14:paraId="3BAF2BB2" w14:textId="77777777" w:rsidR="00AC05BA" w:rsidRPr="00AC05BA" w:rsidRDefault="00AC05BA" w:rsidP="00AC05BA">
            <w:pPr>
              <w:jc w:val="left"/>
              <w:rPr>
                <w:rFonts w:ascii="Calibri" w:hAnsi="Calibri" w:cs="Calibri"/>
                <w:sz w:val="20"/>
              </w:rPr>
            </w:pPr>
            <w:r w:rsidRPr="00AC05BA">
              <w:rPr>
                <w:rFonts w:ascii="Calibri" w:hAnsi="Calibri" w:cs="Calibri"/>
                <w:b/>
                <w:bCs/>
                <w:sz w:val="20"/>
              </w:rPr>
              <w:t>Apport en capital</w:t>
            </w:r>
          </w:p>
        </w:tc>
        <w:tc>
          <w:tcPr>
            <w:tcW w:w="0" w:type="auto"/>
            <w:hideMark/>
          </w:tcPr>
          <w:p w14:paraId="4A2C25F4" w14:textId="77777777" w:rsidR="00AC05BA" w:rsidRPr="00AC05BA" w:rsidRDefault="00AC05BA" w:rsidP="00AC05BA">
            <w:pPr>
              <w:jc w:val="left"/>
              <w:rPr>
                <w:rFonts w:ascii="Calibri" w:hAnsi="Calibri" w:cs="Calibri"/>
                <w:sz w:val="20"/>
              </w:rPr>
            </w:pPr>
            <w:r w:rsidRPr="00AC05BA">
              <w:rPr>
                <w:rFonts w:ascii="Calibri" w:hAnsi="Calibri" w:cs="Calibri"/>
                <w:sz w:val="20"/>
              </w:rPr>
              <w:t>Associé ou actionnaire</w:t>
            </w:r>
          </w:p>
        </w:tc>
        <w:tc>
          <w:tcPr>
            <w:tcW w:w="0" w:type="auto"/>
            <w:hideMark/>
          </w:tcPr>
          <w:p w14:paraId="1AB8D6C3" w14:textId="77777777" w:rsidR="00AC05BA" w:rsidRPr="00AC05BA" w:rsidRDefault="00AC05BA" w:rsidP="00AC05BA">
            <w:pPr>
              <w:jc w:val="left"/>
              <w:rPr>
                <w:rFonts w:ascii="Calibri" w:hAnsi="Calibri" w:cs="Calibri"/>
                <w:sz w:val="20"/>
              </w:rPr>
            </w:pPr>
            <w:r w:rsidRPr="00AC05BA">
              <w:rPr>
                <w:rFonts w:ascii="Calibri" w:hAnsi="Calibri" w:cs="Calibri"/>
                <w:sz w:val="20"/>
              </w:rPr>
              <w:t>Détient des droits sociaux et supporte le risque social</w:t>
            </w:r>
          </w:p>
        </w:tc>
      </w:tr>
      <w:tr w:rsidR="00AC05BA" w:rsidRPr="00AC05BA" w14:paraId="731D02C4" w14:textId="77777777" w:rsidTr="00AC05BA">
        <w:tc>
          <w:tcPr>
            <w:tcW w:w="0" w:type="auto"/>
            <w:hideMark/>
          </w:tcPr>
          <w:p w14:paraId="4F73A056" w14:textId="77777777" w:rsidR="00AC05BA" w:rsidRPr="00AC05BA" w:rsidRDefault="00AC05BA" w:rsidP="00AC05BA">
            <w:pPr>
              <w:jc w:val="left"/>
              <w:rPr>
                <w:rFonts w:ascii="Calibri" w:hAnsi="Calibri" w:cs="Calibri"/>
                <w:sz w:val="20"/>
              </w:rPr>
            </w:pPr>
            <w:r w:rsidRPr="00AC05BA">
              <w:rPr>
                <w:rFonts w:ascii="Calibri" w:hAnsi="Calibri" w:cs="Calibri"/>
                <w:b/>
                <w:bCs/>
                <w:sz w:val="20"/>
              </w:rPr>
              <w:t>Compte courant d’associé</w:t>
            </w:r>
          </w:p>
        </w:tc>
        <w:tc>
          <w:tcPr>
            <w:tcW w:w="0" w:type="auto"/>
            <w:hideMark/>
          </w:tcPr>
          <w:p w14:paraId="21DAE03B" w14:textId="77777777" w:rsidR="00AC05BA" w:rsidRPr="00AC05BA" w:rsidRDefault="00AC05BA" w:rsidP="00AC05BA">
            <w:pPr>
              <w:jc w:val="left"/>
              <w:rPr>
                <w:rFonts w:ascii="Calibri" w:hAnsi="Calibri" w:cs="Calibri"/>
                <w:sz w:val="20"/>
              </w:rPr>
            </w:pPr>
            <w:r w:rsidRPr="00AC05BA">
              <w:rPr>
                <w:rFonts w:ascii="Calibri" w:hAnsi="Calibri" w:cs="Calibri"/>
                <w:sz w:val="20"/>
              </w:rPr>
              <w:t>Créancier de la société</w:t>
            </w:r>
          </w:p>
        </w:tc>
        <w:tc>
          <w:tcPr>
            <w:tcW w:w="0" w:type="auto"/>
            <w:hideMark/>
          </w:tcPr>
          <w:p w14:paraId="64D8FADE" w14:textId="77777777" w:rsidR="00AC05BA" w:rsidRPr="00AC05BA" w:rsidRDefault="00AC05BA" w:rsidP="00AC05BA">
            <w:pPr>
              <w:jc w:val="left"/>
              <w:rPr>
                <w:rFonts w:ascii="Calibri" w:hAnsi="Calibri" w:cs="Calibri"/>
                <w:sz w:val="20"/>
              </w:rPr>
            </w:pPr>
            <w:r w:rsidRPr="00AC05BA">
              <w:rPr>
                <w:rFonts w:ascii="Calibri" w:hAnsi="Calibri" w:cs="Calibri"/>
                <w:sz w:val="20"/>
              </w:rPr>
              <w:t>Consent un prêt à la société</w:t>
            </w:r>
          </w:p>
        </w:tc>
      </w:tr>
      <w:tr w:rsidR="00AC05BA" w:rsidRPr="00AC05BA" w14:paraId="73B10990" w14:textId="77777777" w:rsidTr="00AC05BA">
        <w:tc>
          <w:tcPr>
            <w:tcW w:w="0" w:type="auto"/>
            <w:hideMark/>
          </w:tcPr>
          <w:p w14:paraId="3B001D87" w14:textId="77777777" w:rsidR="00AC05BA" w:rsidRPr="00AC05BA" w:rsidRDefault="00AC05BA" w:rsidP="00AC05BA">
            <w:pPr>
              <w:jc w:val="left"/>
              <w:rPr>
                <w:rFonts w:ascii="Calibri" w:hAnsi="Calibri" w:cs="Calibri"/>
                <w:sz w:val="20"/>
              </w:rPr>
            </w:pPr>
            <w:r w:rsidRPr="00AC05BA">
              <w:rPr>
                <w:rFonts w:ascii="Calibri" w:hAnsi="Calibri" w:cs="Calibri"/>
                <w:b/>
                <w:bCs/>
                <w:sz w:val="20"/>
              </w:rPr>
              <w:t>Emprunt bancaire</w:t>
            </w:r>
          </w:p>
        </w:tc>
        <w:tc>
          <w:tcPr>
            <w:tcW w:w="0" w:type="auto"/>
            <w:hideMark/>
          </w:tcPr>
          <w:p w14:paraId="0E79957E" w14:textId="77777777" w:rsidR="00AC05BA" w:rsidRPr="00AC05BA" w:rsidRDefault="00AC05BA" w:rsidP="00AC05BA">
            <w:pPr>
              <w:jc w:val="left"/>
              <w:rPr>
                <w:rFonts w:ascii="Calibri" w:hAnsi="Calibri" w:cs="Calibri"/>
                <w:sz w:val="20"/>
              </w:rPr>
            </w:pPr>
            <w:r w:rsidRPr="00AC05BA">
              <w:rPr>
                <w:rFonts w:ascii="Calibri" w:hAnsi="Calibri" w:cs="Calibri"/>
                <w:sz w:val="20"/>
              </w:rPr>
              <w:t>Banque créancière</w:t>
            </w:r>
          </w:p>
        </w:tc>
        <w:tc>
          <w:tcPr>
            <w:tcW w:w="0" w:type="auto"/>
            <w:hideMark/>
          </w:tcPr>
          <w:p w14:paraId="6968C741" w14:textId="77777777" w:rsidR="00AC05BA" w:rsidRPr="00AC05BA" w:rsidRDefault="00AC05BA" w:rsidP="00AC05BA">
            <w:pPr>
              <w:jc w:val="left"/>
              <w:rPr>
                <w:rFonts w:ascii="Calibri" w:hAnsi="Calibri" w:cs="Calibri"/>
                <w:sz w:val="20"/>
              </w:rPr>
            </w:pPr>
            <w:r w:rsidRPr="00AC05BA">
              <w:rPr>
                <w:rFonts w:ascii="Calibri" w:hAnsi="Calibri" w:cs="Calibri"/>
                <w:sz w:val="20"/>
              </w:rPr>
              <w:t>Créance remboursable avec intérêts</w:t>
            </w:r>
          </w:p>
        </w:tc>
      </w:tr>
      <w:tr w:rsidR="00AC05BA" w:rsidRPr="00AC05BA" w14:paraId="2B510205" w14:textId="77777777" w:rsidTr="00AC05BA">
        <w:tc>
          <w:tcPr>
            <w:tcW w:w="0" w:type="auto"/>
            <w:hideMark/>
          </w:tcPr>
          <w:p w14:paraId="69C8CA4D" w14:textId="77777777" w:rsidR="00AC05BA" w:rsidRPr="00AC05BA" w:rsidRDefault="00AC05BA" w:rsidP="00AC05BA">
            <w:pPr>
              <w:jc w:val="left"/>
              <w:rPr>
                <w:rFonts w:ascii="Calibri" w:hAnsi="Calibri" w:cs="Calibri"/>
                <w:sz w:val="20"/>
              </w:rPr>
            </w:pPr>
            <w:r w:rsidRPr="00AC05BA">
              <w:rPr>
                <w:rFonts w:ascii="Calibri" w:hAnsi="Calibri" w:cs="Calibri"/>
                <w:b/>
                <w:bCs/>
                <w:sz w:val="20"/>
              </w:rPr>
              <w:t>Emprunt obligataire</w:t>
            </w:r>
          </w:p>
        </w:tc>
        <w:tc>
          <w:tcPr>
            <w:tcW w:w="0" w:type="auto"/>
            <w:hideMark/>
          </w:tcPr>
          <w:p w14:paraId="5705E8E1" w14:textId="77777777" w:rsidR="00AC05BA" w:rsidRPr="00AC05BA" w:rsidRDefault="00AC05BA" w:rsidP="00AC05BA">
            <w:pPr>
              <w:jc w:val="left"/>
              <w:rPr>
                <w:rFonts w:ascii="Calibri" w:hAnsi="Calibri" w:cs="Calibri"/>
                <w:sz w:val="20"/>
              </w:rPr>
            </w:pPr>
            <w:r w:rsidRPr="00AC05BA">
              <w:rPr>
                <w:rFonts w:ascii="Calibri" w:hAnsi="Calibri" w:cs="Calibri"/>
                <w:sz w:val="20"/>
              </w:rPr>
              <w:t>Obligataire créancier</w:t>
            </w:r>
          </w:p>
        </w:tc>
        <w:tc>
          <w:tcPr>
            <w:tcW w:w="0" w:type="auto"/>
            <w:hideMark/>
          </w:tcPr>
          <w:p w14:paraId="18C3D1B6" w14:textId="77777777" w:rsidR="00AC05BA" w:rsidRPr="00AC05BA" w:rsidRDefault="00AC05BA" w:rsidP="00AC05BA">
            <w:pPr>
              <w:jc w:val="left"/>
              <w:rPr>
                <w:rFonts w:ascii="Calibri" w:hAnsi="Calibri" w:cs="Calibri"/>
                <w:sz w:val="20"/>
              </w:rPr>
            </w:pPr>
            <w:r w:rsidRPr="00AC05BA">
              <w:rPr>
                <w:rFonts w:ascii="Calibri" w:hAnsi="Calibri" w:cs="Calibri"/>
                <w:sz w:val="20"/>
              </w:rPr>
              <w:t>Souscrit un titre de créance négociable</w:t>
            </w:r>
          </w:p>
        </w:tc>
      </w:tr>
    </w:tbl>
    <w:p w14:paraId="5DC7378E" w14:textId="77777777" w:rsidR="00AC05BA" w:rsidRPr="00AC05BA" w:rsidRDefault="00AC05BA" w:rsidP="00AC05BA">
      <w:pPr>
        <w:spacing w:after="0" w:line="240" w:lineRule="auto"/>
      </w:pPr>
      <w:r w:rsidRPr="00AC05BA">
        <w:t xml:space="preserve">L’apporteur en capital devient ou demeure </w:t>
      </w:r>
      <w:r w:rsidRPr="00AC05BA">
        <w:rPr>
          <w:b/>
          <w:bCs/>
        </w:rPr>
        <w:t>associé</w:t>
      </w:r>
      <w:r w:rsidRPr="00AC05BA">
        <w:t>. Il n’a pas un droit au remboursement comparable à celui d’un prêteur.</w:t>
      </w:r>
    </w:p>
    <w:p w14:paraId="3EAB3633" w14:textId="77777777" w:rsidR="00AC05BA" w:rsidRPr="00AC05BA" w:rsidRDefault="00AC05BA" w:rsidP="00AC05BA">
      <w:pPr>
        <w:spacing w:after="0" w:line="240" w:lineRule="auto"/>
      </w:pPr>
      <w:r w:rsidRPr="00AC05BA">
        <w:t xml:space="preserve">À l’inverse, le titulaire d’une obligation ou d’un compte courant est </w:t>
      </w:r>
      <w:r w:rsidRPr="00AC05BA">
        <w:rPr>
          <w:b/>
          <w:bCs/>
        </w:rPr>
        <w:t>créancier</w:t>
      </w:r>
      <w:r w:rsidRPr="00AC05BA">
        <w:t xml:space="preserve"> de la société. Le compte courant d’associé constitue juridiquement un prêt dont les modalités de rémunération, durée et remboursement sont déterminées par les statuts ou une convention. (</w:t>
      </w:r>
      <w:hyperlink r:id="rId7" w:tooltip="Compte courant d'associé : fonctionnement et fiscalité" w:history="1">
        <w:r w:rsidRPr="00AC05BA">
          <w:rPr>
            <w:rStyle w:val="Lienhypertexte"/>
          </w:rPr>
          <w:t>Service Public Entreprendre</w:t>
        </w:r>
      </w:hyperlink>
      <w:r w:rsidRPr="00AC05BA">
        <w:t>)</w:t>
      </w:r>
    </w:p>
    <w:p w14:paraId="494B26C8" w14:textId="77777777" w:rsidR="00AC05BA" w:rsidRPr="00AC05BA" w:rsidRDefault="00AC05BA" w:rsidP="00AC05BA">
      <w:pPr>
        <w:spacing w:after="0" w:line="240" w:lineRule="auto"/>
        <w:rPr>
          <w:b/>
          <w:bCs/>
        </w:rPr>
      </w:pPr>
      <w:r w:rsidRPr="00AC05BA">
        <w:rPr>
          <w:b/>
          <w:bCs/>
        </w:rPr>
        <w:t>Exemple</w:t>
      </w:r>
    </w:p>
    <w:p w14:paraId="631BA1D8" w14:textId="7B4A8639" w:rsidR="00AC05BA" w:rsidRPr="00AC05BA" w:rsidRDefault="00AC05BA" w:rsidP="00AC05BA">
      <w:pPr>
        <w:spacing w:after="0" w:line="240" w:lineRule="auto"/>
      </w:pPr>
      <w:r w:rsidRPr="00AC05BA">
        <w:t>A verse 50 000</w:t>
      </w:r>
      <w:r>
        <w:t> € :</w:t>
      </w:r>
    </w:p>
    <w:p w14:paraId="361CB77B" w14:textId="26E73F2E" w:rsidR="00AC05BA" w:rsidRPr="00AC05BA" w:rsidRDefault="00AC05BA">
      <w:pPr>
        <w:numPr>
          <w:ilvl w:val="0"/>
          <w:numId w:val="1"/>
        </w:numPr>
        <w:spacing w:after="0" w:line="240" w:lineRule="auto"/>
      </w:pPr>
      <w:r w:rsidRPr="00AC05BA">
        <w:t>s’il reçoit des actions nouvelles</w:t>
      </w:r>
      <w:r>
        <w:t> :</w:t>
      </w:r>
      <w:r w:rsidRPr="00AC05BA">
        <w:t xml:space="preserve"> augmentation de capital</w:t>
      </w:r>
      <w:r>
        <w:t> ;</w:t>
      </w:r>
    </w:p>
    <w:p w14:paraId="06B7C5A0" w14:textId="6E946F8C" w:rsidR="00AC05BA" w:rsidRPr="00AC05BA" w:rsidRDefault="00AC05BA">
      <w:pPr>
        <w:numPr>
          <w:ilvl w:val="0"/>
          <w:numId w:val="1"/>
        </w:numPr>
        <w:spacing w:after="0" w:line="240" w:lineRule="auto"/>
      </w:pPr>
      <w:r w:rsidRPr="00AC05BA">
        <w:t>si les 50 000</w:t>
      </w:r>
      <w:r>
        <w:t> €</w:t>
      </w:r>
      <w:r w:rsidRPr="00AC05BA">
        <w:t xml:space="preserve"> sont inscrits à son compte courant</w:t>
      </w:r>
      <w:r>
        <w:t> :</w:t>
      </w:r>
      <w:r w:rsidRPr="00AC05BA">
        <w:t xml:space="preserve"> prêt à la société.</w:t>
      </w:r>
    </w:p>
    <w:p w14:paraId="532539BB" w14:textId="77777777" w:rsidR="00AC05BA" w:rsidRPr="00AC05BA" w:rsidRDefault="00AC05BA" w:rsidP="00AC05BA">
      <w:pPr>
        <w:spacing w:after="0" w:line="240" w:lineRule="auto"/>
      </w:pPr>
      <w:r w:rsidRPr="00AC05BA">
        <w:t>Les conséquences sur ses droits et sur le bilan de la société sont différentes.</w:t>
      </w:r>
    </w:p>
    <w:p w14:paraId="56249406" w14:textId="77777777" w:rsidR="00AC05BA" w:rsidRPr="00AC05BA" w:rsidRDefault="00AC05BA" w:rsidP="00AC05BA">
      <w:pPr>
        <w:pStyle w:val="Titre1"/>
      </w:pPr>
      <w:r w:rsidRPr="00AC05BA">
        <w:t>2. Parts sociales, actions et obligations ne doivent pas être confondues</w:t>
      </w:r>
    </w:p>
    <w:tbl>
      <w:tblPr>
        <w:tblStyle w:val="Grilledutableau"/>
        <w:tblW w:w="0" w:type="auto"/>
        <w:tblLook w:val="04A0" w:firstRow="1" w:lastRow="0" w:firstColumn="1" w:lastColumn="0" w:noHBand="0" w:noVBand="1"/>
      </w:tblPr>
      <w:tblGrid>
        <w:gridCol w:w="1818"/>
        <w:gridCol w:w="3317"/>
        <w:gridCol w:w="1935"/>
        <w:gridCol w:w="3386"/>
      </w:tblGrid>
      <w:tr w:rsidR="00AC05BA" w:rsidRPr="00AC05BA" w14:paraId="0B107B40" w14:textId="77777777" w:rsidTr="00AC05BA">
        <w:trPr>
          <w:tblHeader/>
        </w:trPr>
        <w:tc>
          <w:tcPr>
            <w:tcW w:w="0" w:type="auto"/>
            <w:hideMark/>
          </w:tcPr>
          <w:p w14:paraId="544F82E5" w14:textId="77777777" w:rsidR="00AC05BA" w:rsidRPr="00AC05BA" w:rsidRDefault="00AC05BA" w:rsidP="00AC05BA">
            <w:pPr>
              <w:jc w:val="left"/>
              <w:rPr>
                <w:rFonts w:ascii="Calibri" w:hAnsi="Calibri" w:cs="Calibri"/>
                <w:b/>
                <w:bCs/>
                <w:sz w:val="20"/>
              </w:rPr>
            </w:pPr>
            <w:r w:rsidRPr="00AC05BA">
              <w:rPr>
                <w:rFonts w:ascii="Calibri" w:hAnsi="Calibri" w:cs="Calibri"/>
                <w:b/>
                <w:bCs/>
                <w:sz w:val="20"/>
              </w:rPr>
              <w:t>Titre</w:t>
            </w:r>
          </w:p>
        </w:tc>
        <w:tc>
          <w:tcPr>
            <w:tcW w:w="0" w:type="auto"/>
            <w:hideMark/>
          </w:tcPr>
          <w:p w14:paraId="095D676F" w14:textId="77777777" w:rsidR="00AC05BA" w:rsidRPr="00AC05BA" w:rsidRDefault="00AC05BA" w:rsidP="00AC05BA">
            <w:pPr>
              <w:jc w:val="left"/>
              <w:rPr>
                <w:rFonts w:ascii="Calibri" w:hAnsi="Calibri" w:cs="Calibri"/>
                <w:b/>
                <w:bCs/>
                <w:sz w:val="20"/>
              </w:rPr>
            </w:pPr>
            <w:r w:rsidRPr="00AC05BA">
              <w:rPr>
                <w:rFonts w:ascii="Calibri" w:hAnsi="Calibri" w:cs="Calibri"/>
                <w:b/>
                <w:bCs/>
                <w:sz w:val="20"/>
              </w:rPr>
              <w:t>Nature</w:t>
            </w:r>
          </w:p>
        </w:tc>
        <w:tc>
          <w:tcPr>
            <w:tcW w:w="0" w:type="auto"/>
            <w:hideMark/>
          </w:tcPr>
          <w:p w14:paraId="5F55B170" w14:textId="77777777" w:rsidR="00AC05BA" w:rsidRPr="00AC05BA" w:rsidRDefault="00AC05BA" w:rsidP="00AC05BA">
            <w:pPr>
              <w:jc w:val="left"/>
              <w:rPr>
                <w:rFonts w:ascii="Calibri" w:hAnsi="Calibri" w:cs="Calibri"/>
                <w:b/>
                <w:bCs/>
                <w:sz w:val="20"/>
              </w:rPr>
            </w:pPr>
            <w:r w:rsidRPr="00AC05BA">
              <w:rPr>
                <w:rFonts w:ascii="Calibri" w:hAnsi="Calibri" w:cs="Calibri"/>
                <w:b/>
                <w:bCs/>
                <w:sz w:val="20"/>
              </w:rPr>
              <w:t>Titulaire</w:t>
            </w:r>
          </w:p>
        </w:tc>
        <w:tc>
          <w:tcPr>
            <w:tcW w:w="0" w:type="auto"/>
            <w:hideMark/>
          </w:tcPr>
          <w:p w14:paraId="758504A7" w14:textId="77777777" w:rsidR="00AC05BA" w:rsidRPr="00AC05BA" w:rsidRDefault="00AC05BA" w:rsidP="00AC05BA">
            <w:pPr>
              <w:jc w:val="left"/>
              <w:rPr>
                <w:rFonts w:ascii="Calibri" w:hAnsi="Calibri" w:cs="Calibri"/>
                <w:b/>
                <w:bCs/>
                <w:sz w:val="20"/>
              </w:rPr>
            </w:pPr>
            <w:r w:rsidRPr="00AC05BA">
              <w:rPr>
                <w:rFonts w:ascii="Calibri" w:hAnsi="Calibri" w:cs="Calibri"/>
                <w:b/>
                <w:bCs/>
                <w:sz w:val="20"/>
              </w:rPr>
              <w:t>Droit principal</w:t>
            </w:r>
          </w:p>
        </w:tc>
      </w:tr>
      <w:tr w:rsidR="00AC05BA" w:rsidRPr="00AC05BA" w14:paraId="426AC7FC" w14:textId="77777777" w:rsidTr="00AC05BA">
        <w:tc>
          <w:tcPr>
            <w:tcW w:w="0" w:type="auto"/>
            <w:hideMark/>
          </w:tcPr>
          <w:p w14:paraId="1254EE0A" w14:textId="77777777" w:rsidR="00AC05BA" w:rsidRPr="00AC05BA" w:rsidRDefault="00AC05BA" w:rsidP="00AC05BA">
            <w:pPr>
              <w:jc w:val="left"/>
              <w:rPr>
                <w:rFonts w:ascii="Calibri" w:hAnsi="Calibri" w:cs="Calibri"/>
                <w:sz w:val="20"/>
              </w:rPr>
            </w:pPr>
            <w:r w:rsidRPr="00AC05BA">
              <w:rPr>
                <w:rFonts w:ascii="Calibri" w:hAnsi="Calibri" w:cs="Calibri"/>
                <w:b/>
                <w:bCs/>
                <w:sz w:val="20"/>
              </w:rPr>
              <w:t>Part sociale</w:t>
            </w:r>
          </w:p>
        </w:tc>
        <w:tc>
          <w:tcPr>
            <w:tcW w:w="0" w:type="auto"/>
            <w:hideMark/>
          </w:tcPr>
          <w:p w14:paraId="5F3CBA6A" w14:textId="77777777" w:rsidR="00AC05BA" w:rsidRPr="00AC05BA" w:rsidRDefault="00AC05BA" w:rsidP="00AC05BA">
            <w:pPr>
              <w:jc w:val="left"/>
              <w:rPr>
                <w:rFonts w:ascii="Calibri" w:hAnsi="Calibri" w:cs="Calibri"/>
                <w:sz w:val="20"/>
              </w:rPr>
            </w:pPr>
            <w:r w:rsidRPr="00AC05BA">
              <w:rPr>
                <w:rFonts w:ascii="Calibri" w:hAnsi="Calibri" w:cs="Calibri"/>
                <w:sz w:val="20"/>
              </w:rPr>
              <w:t>Droit social</w:t>
            </w:r>
          </w:p>
        </w:tc>
        <w:tc>
          <w:tcPr>
            <w:tcW w:w="0" w:type="auto"/>
            <w:hideMark/>
          </w:tcPr>
          <w:p w14:paraId="37C86AF8" w14:textId="77777777" w:rsidR="00AC05BA" w:rsidRPr="00AC05BA" w:rsidRDefault="00AC05BA" w:rsidP="00AC05BA">
            <w:pPr>
              <w:jc w:val="left"/>
              <w:rPr>
                <w:rFonts w:ascii="Calibri" w:hAnsi="Calibri" w:cs="Calibri"/>
                <w:sz w:val="20"/>
              </w:rPr>
            </w:pPr>
            <w:r w:rsidRPr="00AC05BA">
              <w:rPr>
                <w:rFonts w:ascii="Calibri" w:hAnsi="Calibri" w:cs="Calibri"/>
                <w:sz w:val="20"/>
              </w:rPr>
              <w:t>Associé de SARL, SNC…</w:t>
            </w:r>
          </w:p>
        </w:tc>
        <w:tc>
          <w:tcPr>
            <w:tcW w:w="0" w:type="auto"/>
            <w:hideMark/>
          </w:tcPr>
          <w:p w14:paraId="1EBC8C9B" w14:textId="77777777" w:rsidR="00AC05BA" w:rsidRPr="00AC05BA" w:rsidRDefault="00AC05BA" w:rsidP="00AC05BA">
            <w:pPr>
              <w:jc w:val="left"/>
              <w:rPr>
                <w:rFonts w:ascii="Calibri" w:hAnsi="Calibri" w:cs="Calibri"/>
                <w:sz w:val="20"/>
              </w:rPr>
            </w:pPr>
            <w:r w:rsidRPr="00AC05BA">
              <w:rPr>
                <w:rFonts w:ascii="Calibri" w:hAnsi="Calibri" w:cs="Calibri"/>
                <w:sz w:val="20"/>
              </w:rPr>
              <w:t>Droits politiques, financiers et patrimoniaux</w:t>
            </w:r>
          </w:p>
        </w:tc>
      </w:tr>
      <w:tr w:rsidR="00AC05BA" w:rsidRPr="00AC05BA" w14:paraId="2C701A69" w14:textId="77777777" w:rsidTr="00AC05BA">
        <w:tc>
          <w:tcPr>
            <w:tcW w:w="0" w:type="auto"/>
            <w:hideMark/>
          </w:tcPr>
          <w:p w14:paraId="1586F8CC" w14:textId="77777777" w:rsidR="00AC05BA" w:rsidRPr="00AC05BA" w:rsidRDefault="00AC05BA" w:rsidP="00AC05BA">
            <w:pPr>
              <w:jc w:val="left"/>
              <w:rPr>
                <w:rFonts w:ascii="Calibri" w:hAnsi="Calibri" w:cs="Calibri"/>
                <w:sz w:val="20"/>
              </w:rPr>
            </w:pPr>
            <w:r w:rsidRPr="00AC05BA">
              <w:rPr>
                <w:rFonts w:ascii="Calibri" w:hAnsi="Calibri" w:cs="Calibri"/>
                <w:b/>
                <w:bCs/>
                <w:sz w:val="20"/>
              </w:rPr>
              <w:t>Action ordinaire</w:t>
            </w:r>
          </w:p>
        </w:tc>
        <w:tc>
          <w:tcPr>
            <w:tcW w:w="0" w:type="auto"/>
            <w:hideMark/>
          </w:tcPr>
          <w:p w14:paraId="76037350" w14:textId="77777777" w:rsidR="00AC05BA" w:rsidRPr="00AC05BA" w:rsidRDefault="00AC05BA" w:rsidP="00AC05BA">
            <w:pPr>
              <w:jc w:val="left"/>
              <w:rPr>
                <w:rFonts w:ascii="Calibri" w:hAnsi="Calibri" w:cs="Calibri"/>
                <w:sz w:val="20"/>
              </w:rPr>
            </w:pPr>
            <w:r w:rsidRPr="00AC05BA">
              <w:rPr>
                <w:rFonts w:ascii="Calibri" w:hAnsi="Calibri" w:cs="Calibri"/>
                <w:sz w:val="20"/>
              </w:rPr>
              <w:t>Titre de capital</w:t>
            </w:r>
          </w:p>
        </w:tc>
        <w:tc>
          <w:tcPr>
            <w:tcW w:w="0" w:type="auto"/>
            <w:hideMark/>
          </w:tcPr>
          <w:p w14:paraId="7D6BAFA8" w14:textId="77777777" w:rsidR="00AC05BA" w:rsidRPr="00AC05BA" w:rsidRDefault="00AC05BA" w:rsidP="00AC05BA">
            <w:pPr>
              <w:jc w:val="left"/>
              <w:rPr>
                <w:rFonts w:ascii="Calibri" w:hAnsi="Calibri" w:cs="Calibri"/>
                <w:sz w:val="20"/>
              </w:rPr>
            </w:pPr>
            <w:r w:rsidRPr="00AC05BA">
              <w:rPr>
                <w:rFonts w:ascii="Calibri" w:hAnsi="Calibri" w:cs="Calibri"/>
                <w:sz w:val="20"/>
              </w:rPr>
              <w:t>Actionnaire</w:t>
            </w:r>
          </w:p>
        </w:tc>
        <w:tc>
          <w:tcPr>
            <w:tcW w:w="0" w:type="auto"/>
            <w:hideMark/>
          </w:tcPr>
          <w:p w14:paraId="273EB9F1" w14:textId="77777777" w:rsidR="00AC05BA" w:rsidRPr="00AC05BA" w:rsidRDefault="00AC05BA" w:rsidP="00AC05BA">
            <w:pPr>
              <w:jc w:val="left"/>
              <w:rPr>
                <w:rFonts w:ascii="Calibri" w:hAnsi="Calibri" w:cs="Calibri"/>
                <w:sz w:val="20"/>
              </w:rPr>
            </w:pPr>
            <w:r w:rsidRPr="00AC05BA">
              <w:rPr>
                <w:rFonts w:ascii="Calibri" w:hAnsi="Calibri" w:cs="Calibri"/>
                <w:sz w:val="20"/>
              </w:rPr>
              <w:t>Droits politiques et financiers</w:t>
            </w:r>
          </w:p>
        </w:tc>
      </w:tr>
      <w:tr w:rsidR="00AC05BA" w:rsidRPr="00AC05BA" w14:paraId="11E7C40A" w14:textId="77777777" w:rsidTr="00AC05BA">
        <w:tc>
          <w:tcPr>
            <w:tcW w:w="0" w:type="auto"/>
            <w:hideMark/>
          </w:tcPr>
          <w:p w14:paraId="63B1E909" w14:textId="77777777" w:rsidR="00AC05BA" w:rsidRPr="00AC05BA" w:rsidRDefault="00AC05BA" w:rsidP="00AC05BA">
            <w:pPr>
              <w:jc w:val="left"/>
              <w:rPr>
                <w:rFonts w:ascii="Calibri" w:hAnsi="Calibri" w:cs="Calibri"/>
                <w:sz w:val="20"/>
              </w:rPr>
            </w:pPr>
            <w:r w:rsidRPr="00AC05BA">
              <w:rPr>
                <w:rFonts w:ascii="Calibri" w:hAnsi="Calibri" w:cs="Calibri"/>
                <w:b/>
                <w:bCs/>
                <w:sz w:val="20"/>
              </w:rPr>
              <w:t>Action de préférence</w:t>
            </w:r>
          </w:p>
        </w:tc>
        <w:tc>
          <w:tcPr>
            <w:tcW w:w="0" w:type="auto"/>
            <w:hideMark/>
          </w:tcPr>
          <w:p w14:paraId="3B45F5A2" w14:textId="77777777" w:rsidR="00AC05BA" w:rsidRPr="00AC05BA" w:rsidRDefault="00AC05BA" w:rsidP="00AC05BA">
            <w:pPr>
              <w:jc w:val="left"/>
              <w:rPr>
                <w:rFonts w:ascii="Calibri" w:hAnsi="Calibri" w:cs="Calibri"/>
                <w:sz w:val="20"/>
              </w:rPr>
            </w:pPr>
            <w:r w:rsidRPr="00AC05BA">
              <w:rPr>
                <w:rFonts w:ascii="Calibri" w:hAnsi="Calibri" w:cs="Calibri"/>
                <w:sz w:val="20"/>
              </w:rPr>
              <w:t>Titre de capital assorti de droits particuliers</w:t>
            </w:r>
          </w:p>
        </w:tc>
        <w:tc>
          <w:tcPr>
            <w:tcW w:w="0" w:type="auto"/>
            <w:hideMark/>
          </w:tcPr>
          <w:p w14:paraId="05ED08E5" w14:textId="77777777" w:rsidR="00AC05BA" w:rsidRPr="00AC05BA" w:rsidRDefault="00AC05BA" w:rsidP="00AC05BA">
            <w:pPr>
              <w:jc w:val="left"/>
              <w:rPr>
                <w:rFonts w:ascii="Calibri" w:hAnsi="Calibri" w:cs="Calibri"/>
                <w:sz w:val="20"/>
              </w:rPr>
            </w:pPr>
            <w:r w:rsidRPr="00AC05BA">
              <w:rPr>
                <w:rFonts w:ascii="Calibri" w:hAnsi="Calibri" w:cs="Calibri"/>
                <w:sz w:val="20"/>
              </w:rPr>
              <w:t>Actionnaire</w:t>
            </w:r>
          </w:p>
        </w:tc>
        <w:tc>
          <w:tcPr>
            <w:tcW w:w="0" w:type="auto"/>
            <w:hideMark/>
          </w:tcPr>
          <w:p w14:paraId="717ADFC7" w14:textId="77777777" w:rsidR="00AC05BA" w:rsidRPr="00AC05BA" w:rsidRDefault="00AC05BA" w:rsidP="00AC05BA">
            <w:pPr>
              <w:jc w:val="left"/>
              <w:rPr>
                <w:rFonts w:ascii="Calibri" w:hAnsi="Calibri" w:cs="Calibri"/>
                <w:sz w:val="20"/>
              </w:rPr>
            </w:pPr>
            <w:r w:rsidRPr="00AC05BA">
              <w:rPr>
                <w:rFonts w:ascii="Calibri" w:hAnsi="Calibri" w:cs="Calibri"/>
                <w:sz w:val="20"/>
              </w:rPr>
              <w:t>Droits définis par les statuts</w:t>
            </w:r>
          </w:p>
        </w:tc>
      </w:tr>
      <w:tr w:rsidR="00AC05BA" w:rsidRPr="00AC05BA" w14:paraId="354988FD" w14:textId="77777777" w:rsidTr="00AC05BA">
        <w:tc>
          <w:tcPr>
            <w:tcW w:w="0" w:type="auto"/>
            <w:hideMark/>
          </w:tcPr>
          <w:p w14:paraId="03587918" w14:textId="77777777" w:rsidR="00AC05BA" w:rsidRPr="00AC05BA" w:rsidRDefault="00AC05BA" w:rsidP="00AC05BA">
            <w:pPr>
              <w:jc w:val="left"/>
              <w:rPr>
                <w:rFonts w:ascii="Calibri" w:hAnsi="Calibri" w:cs="Calibri"/>
                <w:sz w:val="20"/>
              </w:rPr>
            </w:pPr>
            <w:r w:rsidRPr="00AC05BA">
              <w:rPr>
                <w:rFonts w:ascii="Calibri" w:hAnsi="Calibri" w:cs="Calibri"/>
                <w:b/>
                <w:bCs/>
                <w:sz w:val="20"/>
              </w:rPr>
              <w:t>Obligation</w:t>
            </w:r>
          </w:p>
        </w:tc>
        <w:tc>
          <w:tcPr>
            <w:tcW w:w="0" w:type="auto"/>
            <w:hideMark/>
          </w:tcPr>
          <w:p w14:paraId="742A4FCD" w14:textId="77777777" w:rsidR="00AC05BA" w:rsidRPr="00AC05BA" w:rsidRDefault="00AC05BA" w:rsidP="00AC05BA">
            <w:pPr>
              <w:jc w:val="left"/>
              <w:rPr>
                <w:rFonts w:ascii="Calibri" w:hAnsi="Calibri" w:cs="Calibri"/>
                <w:sz w:val="20"/>
              </w:rPr>
            </w:pPr>
            <w:r w:rsidRPr="00AC05BA">
              <w:rPr>
                <w:rFonts w:ascii="Calibri" w:hAnsi="Calibri" w:cs="Calibri"/>
                <w:sz w:val="20"/>
              </w:rPr>
              <w:t>Titre de créance négociable</w:t>
            </w:r>
          </w:p>
        </w:tc>
        <w:tc>
          <w:tcPr>
            <w:tcW w:w="0" w:type="auto"/>
            <w:hideMark/>
          </w:tcPr>
          <w:p w14:paraId="1644739F" w14:textId="77777777" w:rsidR="00AC05BA" w:rsidRPr="00AC05BA" w:rsidRDefault="00AC05BA" w:rsidP="00AC05BA">
            <w:pPr>
              <w:jc w:val="left"/>
              <w:rPr>
                <w:rFonts w:ascii="Calibri" w:hAnsi="Calibri" w:cs="Calibri"/>
                <w:sz w:val="20"/>
              </w:rPr>
            </w:pPr>
            <w:r w:rsidRPr="00AC05BA">
              <w:rPr>
                <w:rFonts w:ascii="Calibri" w:hAnsi="Calibri" w:cs="Calibri"/>
                <w:sz w:val="20"/>
              </w:rPr>
              <w:t>Obligataire</w:t>
            </w:r>
          </w:p>
        </w:tc>
        <w:tc>
          <w:tcPr>
            <w:tcW w:w="0" w:type="auto"/>
            <w:hideMark/>
          </w:tcPr>
          <w:p w14:paraId="5B144FE2" w14:textId="77777777" w:rsidR="00AC05BA" w:rsidRPr="00AC05BA" w:rsidRDefault="00AC05BA" w:rsidP="00AC05BA">
            <w:pPr>
              <w:jc w:val="left"/>
              <w:rPr>
                <w:rFonts w:ascii="Calibri" w:hAnsi="Calibri" w:cs="Calibri"/>
                <w:sz w:val="20"/>
              </w:rPr>
            </w:pPr>
            <w:r w:rsidRPr="00AC05BA">
              <w:rPr>
                <w:rFonts w:ascii="Calibri" w:hAnsi="Calibri" w:cs="Calibri"/>
                <w:sz w:val="20"/>
              </w:rPr>
              <w:t>Créance contre l’émetteur</w:t>
            </w:r>
          </w:p>
        </w:tc>
      </w:tr>
    </w:tbl>
    <w:p w14:paraId="61191D5C" w14:textId="77777777" w:rsidR="00AC05BA" w:rsidRPr="00AC05BA" w:rsidRDefault="00AC05BA" w:rsidP="00AC05BA">
      <w:pPr>
        <w:spacing w:after="0" w:line="240" w:lineRule="auto"/>
      </w:pPr>
      <w:r w:rsidRPr="00AC05BA">
        <w:t>Les obligations d’une même émission confèrent à leurs titulaires les mêmes droits de créance pour une même valeur nominale. (</w:t>
      </w:r>
      <w:hyperlink r:id="rId8" w:tooltip="Code de commerce - Article L228-46" w:history="1">
        <w:r w:rsidRPr="00AC05BA">
          <w:rPr>
            <w:rStyle w:val="Lienhypertexte"/>
          </w:rPr>
          <w:t>Légifrance</w:t>
        </w:r>
      </w:hyperlink>
      <w:r w:rsidRPr="00AC05BA">
        <w:t>)</w:t>
      </w:r>
    </w:p>
    <w:p w14:paraId="1B884F41" w14:textId="77777777" w:rsidR="00AC05BA" w:rsidRPr="00AC05BA" w:rsidRDefault="00AC05BA" w:rsidP="00AC05BA">
      <w:pPr>
        <w:spacing w:after="0" w:line="240" w:lineRule="auto"/>
        <w:rPr>
          <w:b/>
          <w:bCs/>
        </w:rPr>
      </w:pPr>
      <w:r w:rsidRPr="00AC05BA">
        <w:rPr>
          <w:b/>
          <w:bCs/>
        </w:rPr>
        <w:t>Point essentiel</w:t>
      </w:r>
    </w:p>
    <w:p w14:paraId="57553B9E" w14:textId="77777777" w:rsidR="00AC05BA" w:rsidRPr="00AC05BA" w:rsidRDefault="00AC05BA" w:rsidP="00AC05BA">
      <w:pPr>
        <w:spacing w:after="0" w:line="240" w:lineRule="auto"/>
      </w:pPr>
      <w:r w:rsidRPr="00AC05BA">
        <w:rPr>
          <w:b/>
          <w:bCs/>
        </w:rPr>
        <w:t>Une obligation n’est pas une action.</w:t>
      </w:r>
    </w:p>
    <w:p w14:paraId="7BDCEF6A" w14:textId="660DD481" w:rsidR="00AC05BA" w:rsidRPr="00AC05BA" w:rsidRDefault="00AC05BA" w:rsidP="00AC05BA">
      <w:pPr>
        <w:spacing w:after="0" w:line="240" w:lineRule="auto"/>
      </w:pPr>
      <w:r w:rsidRPr="00AC05BA">
        <w:t>L’obligataire prête à la société</w:t>
      </w:r>
      <w:r>
        <w:t> ;</w:t>
      </w:r>
      <w:r w:rsidRPr="00AC05BA">
        <w:t xml:space="preserve"> il ne devient pas actionnaire du seul fait de la souscription de l’obligation.</w:t>
      </w:r>
    </w:p>
    <w:p w14:paraId="65D9BF99" w14:textId="77777777" w:rsidR="00AC05BA" w:rsidRPr="00AC05BA" w:rsidRDefault="00AC05BA" w:rsidP="00AC05BA">
      <w:pPr>
        <w:pStyle w:val="Titre1"/>
      </w:pPr>
      <w:r w:rsidRPr="00AC05BA">
        <w:t>3. L’augmentation de capital modifie durablement les capitaux propres</w:t>
      </w:r>
    </w:p>
    <w:p w14:paraId="6D9847CA" w14:textId="76737978" w:rsidR="00AC05BA" w:rsidRPr="00AC05BA" w:rsidRDefault="00AC05BA" w:rsidP="00AC05BA">
      <w:pPr>
        <w:spacing w:after="0" w:line="240" w:lineRule="auto"/>
      </w:pPr>
      <w:r w:rsidRPr="00AC05BA">
        <w:t>Une augmentation de capital peut notamment permettre</w:t>
      </w:r>
      <w:r>
        <w:t> :</w:t>
      </w:r>
    </w:p>
    <w:p w14:paraId="06071037" w14:textId="435043EB" w:rsidR="00AC05BA" w:rsidRPr="00AC05BA" w:rsidRDefault="00AC05BA">
      <w:pPr>
        <w:numPr>
          <w:ilvl w:val="0"/>
          <w:numId w:val="2"/>
        </w:numPr>
        <w:spacing w:after="0" w:line="240" w:lineRule="auto"/>
      </w:pPr>
      <w:r w:rsidRPr="00AC05BA">
        <w:t>de financer de nouveaux investissements</w:t>
      </w:r>
      <w:r>
        <w:t> ;</w:t>
      </w:r>
    </w:p>
    <w:p w14:paraId="5805BCF6" w14:textId="3783E62B" w:rsidR="00AC05BA" w:rsidRPr="00AC05BA" w:rsidRDefault="00AC05BA">
      <w:pPr>
        <w:numPr>
          <w:ilvl w:val="0"/>
          <w:numId w:val="2"/>
        </w:numPr>
        <w:spacing w:after="0" w:line="240" w:lineRule="auto"/>
      </w:pPr>
      <w:r w:rsidRPr="00AC05BA">
        <w:t>d’accueillir de nouveaux associés ou investisseurs</w:t>
      </w:r>
      <w:r>
        <w:t> ;</w:t>
      </w:r>
    </w:p>
    <w:p w14:paraId="6F2EFEEF" w14:textId="5E306617" w:rsidR="00AC05BA" w:rsidRPr="00AC05BA" w:rsidRDefault="00AC05BA">
      <w:pPr>
        <w:numPr>
          <w:ilvl w:val="0"/>
          <w:numId w:val="2"/>
        </w:numPr>
        <w:spacing w:after="0" w:line="240" w:lineRule="auto"/>
      </w:pPr>
      <w:r w:rsidRPr="00AC05BA">
        <w:t>de renforcer la structure financière</w:t>
      </w:r>
      <w:r>
        <w:t> ;</w:t>
      </w:r>
    </w:p>
    <w:p w14:paraId="78F7014B" w14:textId="28D490F4" w:rsidR="00AC05BA" w:rsidRPr="00AC05BA" w:rsidRDefault="00AC05BA">
      <w:pPr>
        <w:numPr>
          <w:ilvl w:val="0"/>
          <w:numId w:val="2"/>
        </w:numPr>
        <w:spacing w:after="0" w:line="240" w:lineRule="auto"/>
      </w:pPr>
      <w:r w:rsidRPr="00AC05BA">
        <w:t>de réduire le poids relatif de l’endettement</w:t>
      </w:r>
      <w:r>
        <w:t> ;</w:t>
      </w:r>
    </w:p>
    <w:p w14:paraId="36F99ECC" w14:textId="3B77923A" w:rsidR="00AC05BA" w:rsidRPr="00AC05BA" w:rsidRDefault="00AC05BA">
      <w:pPr>
        <w:numPr>
          <w:ilvl w:val="0"/>
          <w:numId w:val="2"/>
        </w:numPr>
        <w:spacing w:after="0" w:line="240" w:lineRule="auto"/>
      </w:pPr>
      <w:r w:rsidRPr="00AC05BA">
        <w:t>de reconstituer des capitaux propres dégradés</w:t>
      </w:r>
      <w:r>
        <w:t> ;</w:t>
      </w:r>
    </w:p>
    <w:p w14:paraId="214DB807" w14:textId="086FD43C" w:rsidR="00AC05BA" w:rsidRPr="00AC05BA" w:rsidRDefault="00AC05BA">
      <w:pPr>
        <w:numPr>
          <w:ilvl w:val="0"/>
          <w:numId w:val="2"/>
        </w:numPr>
        <w:spacing w:after="0" w:line="240" w:lineRule="auto"/>
      </w:pPr>
      <w:r w:rsidRPr="00AC05BA">
        <w:t>de transformer une dette en capital</w:t>
      </w:r>
      <w:r>
        <w:t> ;</w:t>
      </w:r>
    </w:p>
    <w:p w14:paraId="3D9995B2" w14:textId="77777777" w:rsidR="00AC05BA" w:rsidRPr="00AC05BA" w:rsidRDefault="00AC05BA">
      <w:pPr>
        <w:numPr>
          <w:ilvl w:val="0"/>
          <w:numId w:val="2"/>
        </w:numPr>
        <w:spacing w:after="0" w:line="240" w:lineRule="auto"/>
      </w:pPr>
      <w:r w:rsidRPr="00AC05BA">
        <w:t>d’incorporer au capital des réserves déjà accumulées.</w:t>
      </w:r>
    </w:p>
    <w:p w14:paraId="4810AD7F" w14:textId="77777777" w:rsidR="00AC05BA" w:rsidRPr="00AC05BA" w:rsidRDefault="00AC05BA" w:rsidP="00AC05BA">
      <w:pPr>
        <w:spacing w:after="0" w:line="240" w:lineRule="auto"/>
      </w:pPr>
      <w:r w:rsidRPr="00AC05BA">
        <w:lastRenderedPageBreak/>
        <w:t>Dans les sociétés par actions, le capital peut être augmenté par émission d’actions ordinaires ou d’actions de préférence, ou par augmentation de la valeur nominale des titres existants. (</w:t>
      </w:r>
      <w:hyperlink r:id="rId9" w:tooltip="De l'augmentation du capital. (Articles L225-127 à L225-150)" w:history="1">
        <w:r w:rsidRPr="00AC05BA">
          <w:rPr>
            <w:rStyle w:val="Lienhypertexte"/>
          </w:rPr>
          <w:t>Légifrance</w:t>
        </w:r>
      </w:hyperlink>
      <w:r w:rsidRPr="00AC05BA">
        <w:t>)</w:t>
      </w:r>
    </w:p>
    <w:p w14:paraId="42DCC730" w14:textId="77777777" w:rsidR="00AC05BA" w:rsidRPr="00AC05BA" w:rsidRDefault="00AC05BA" w:rsidP="00AC05BA">
      <w:pPr>
        <w:pStyle w:val="Titre1"/>
      </w:pPr>
      <w:r w:rsidRPr="00AC05BA">
        <w:t>4. Les principales techniques d’augmentation de capital</w:t>
      </w:r>
    </w:p>
    <w:p w14:paraId="2AD2656A" w14:textId="77777777" w:rsidR="00AC05BA" w:rsidRPr="00AC05BA" w:rsidRDefault="00AC05BA" w:rsidP="00AC05BA">
      <w:pPr>
        <w:spacing w:after="0" w:line="240" w:lineRule="auto"/>
      </w:pPr>
      <w:r w:rsidRPr="00AC05BA">
        <w:t>Le Code de commerce prévoit plusieurs modalités.</w:t>
      </w:r>
    </w:p>
    <w:tbl>
      <w:tblPr>
        <w:tblStyle w:val="Grilledutableau"/>
        <w:tblW w:w="0" w:type="auto"/>
        <w:tblLook w:val="04A0" w:firstRow="1" w:lastRow="0" w:firstColumn="1" w:lastColumn="0" w:noHBand="0" w:noVBand="1"/>
      </w:tblPr>
      <w:tblGrid>
        <w:gridCol w:w="3001"/>
        <w:gridCol w:w="3215"/>
        <w:gridCol w:w="3693"/>
      </w:tblGrid>
      <w:tr w:rsidR="00AC05BA" w:rsidRPr="00AC05BA" w14:paraId="060D4034" w14:textId="77777777" w:rsidTr="00AC05BA">
        <w:trPr>
          <w:tblHeader/>
        </w:trPr>
        <w:tc>
          <w:tcPr>
            <w:tcW w:w="0" w:type="auto"/>
            <w:hideMark/>
          </w:tcPr>
          <w:p w14:paraId="64895957" w14:textId="77777777" w:rsidR="00AC05BA" w:rsidRPr="00AC05BA" w:rsidRDefault="00AC05BA" w:rsidP="00AC05BA">
            <w:pPr>
              <w:jc w:val="left"/>
              <w:rPr>
                <w:rFonts w:ascii="Calibri" w:hAnsi="Calibri" w:cs="Calibri"/>
                <w:b/>
                <w:bCs/>
                <w:sz w:val="20"/>
              </w:rPr>
            </w:pPr>
            <w:r w:rsidRPr="00AC05BA">
              <w:rPr>
                <w:rFonts w:ascii="Calibri" w:hAnsi="Calibri" w:cs="Calibri"/>
                <w:b/>
                <w:bCs/>
                <w:sz w:val="20"/>
              </w:rPr>
              <w:t>Technique</w:t>
            </w:r>
          </w:p>
        </w:tc>
        <w:tc>
          <w:tcPr>
            <w:tcW w:w="0" w:type="auto"/>
            <w:hideMark/>
          </w:tcPr>
          <w:p w14:paraId="0435438A" w14:textId="54B30966" w:rsidR="00AC05BA" w:rsidRPr="00AC05BA" w:rsidRDefault="00AC05BA" w:rsidP="00AC05BA">
            <w:pPr>
              <w:jc w:val="left"/>
              <w:rPr>
                <w:rFonts w:ascii="Calibri" w:hAnsi="Calibri" w:cs="Calibri"/>
                <w:b/>
                <w:bCs/>
                <w:sz w:val="20"/>
              </w:rPr>
            </w:pPr>
            <w:r w:rsidRPr="00AC05BA">
              <w:rPr>
                <w:rFonts w:ascii="Calibri" w:hAnsi="Calibri" w:cs="Calibri"/>
                <w:b/>
                <w:bCs/>
                <w:sz w:val="20"/>
              </w:rPr>
              <w:t>Ressource nouvelle pour la société</w:t>
            </w:r>
            <w:r w:rsidRPr="00AC05BA">
              <w:rPr>
                <w:rFonts w:ascii="Calibri" w:hAnsi="Calibri" w:cs="Calibri"/>
                <w:b/>
                <w:bCs/>
                <w:sz w:val="20"/>
              </w:rPr>
              <w:t> ?</w:t>
            </w:r>
          </w:p>
        </w:tc>
        <w:tc>
          <w:tcPr>
            <w:tcW w:w="0" w:type="auto"/>
            <w:hideMark/>
          </w:tcPr>
          <w:p w14:paraId="0A6CABF3" w14:textId="77777777" w:rsidR="00AC05BA" w:rsidRPr="00AC05BA" w:rsidRDefault="00AC05BA" w:rsidP="00AC05BA">
            <w:pPr>
              <w:jc w:val="left"/>
              <w:rPr>
                <w:rFonts w:ascii="Calibri" w:hAnsi="Calibri" w:cs="Calibri"/>
                <w:b/>
                <w:bCs/>
                <w:sz w:val="20"/>
              </w:rPr>
            </w:pPr>
            <w:r w:rsidRPr="00AC05BA">
              <w:rPr>
                <w:rFonts w:ascii="Calibri" w:hAnsi="Calibri" w:cs="Calibri"/>
                <w:b/>
                <w:bCs/>
                <w:sz w:val="20"/>
              </w:rPr>
              <w:t>Effet principal</w:t>
            </w:r>
          </w:p>
        </w:tc>
      </w:tr>
      <w:tr w:rsidR="00AC05BA" w:rsidRPr="00AC05BA" w14:paraId="261B423D" w14:textId="77777777" w:rsidTr="00AC05BA">
        <w:tc>
          <w:tcPr>
            <w:tcW w:w="0" w:type="auto"/>
            <w:hideMark/>
          </w:tcPr>
          <w:p w14:paraId="4564C3D6" w14:textId="77777777" w:rsidR="00AC05BA" w:rsidRPr="00AC05BA" w:rsidRDefault="00AC05BA" w:rsidP="00AC05BA">
            <w:pPr>
              <w:jc w:val="left"/>
              <w:rPr>
                <w:rFonts w:ascii="Calibri" w:hAnsi="Calibri" w:cs="Calibri"/>
                <w:sz w:val="20"/>
              </w:rPr>
            </w:pPr>
            <w:r w:rsidRPr="00AC05BA">
              <w:rPr>
                <w:rFonts w:ascii="Calibri" w:hAnsi="Calibri" w:cs="Calibri"/>
                <w:sz w:val="20"/>
              </w:rPr>
              <w:t>Apport en numéraire</w:t>
            </w:r>
          </w:p>
        </w:tc>
        <w:tc>
          <w:tcPr>
            <w:tcW w:w="0" w:type="auto"/>
            <w:hideMark/>
          </w:tcPr>
          <w:p w14:paraId="45B9C461" w14:textId="77777777" w:rsidR="00AC05BA" w:rsidRPr="00AC05BA" w:rsidRDefault="00AC05BA" w:rsidP="00AC05BA">
            <w:pPr>
              <w:jc w:val="left"/>
              <w:rPr>
                <w:rFonts w:ascii="Calibri" w:hAnsi="Calibri" w:cs="Calibri"/>
                <w:sz w:val="20"/>
              </w:rPr>
            </w:pPr>
            <w:r w:rsidRPr="00AC05BA">
              <w:rPr>
                <w:rFonts w:ascii="Calibri" w:hAnsi="Calibri" w:cs="Calibri"/>
                <w:sz w:val="20"/>
              </w:rPr>
              <w:t>Oui</w:t>
            </w:r>
          </w:p>
        </w:tc>
        <w:tc>
          <w:tcPr>
            <w:tcW w:w="0" w:type="auto"/>
            <w:hideMark/>
          </w:tcPr>
          <w:p w14:paraId="02AF9CB3" w14:textId="77777777" w:rsidR="00AC05BA" w:rsidRPr="00AC05BA" w:rsidRDefault="00AC05BA" w:rsidP="00AC05BA">
            <w:pPr>
              <w:jc w:val="left"/>
              <w:rPr>
                <w:rFonts w:ascii="Calibri" w:hAnsi="Calibri" w:cs="Calibri"/>
                <w:sz w:val="20"/>
              </w:rPr>
            </w:pPr>
            <w:r w:rsidRPr="00AC05BA">
              <w:rPr>
                <w:rFonts w:ascii="Calibri" w:hAnsi="Calibri" w:cs="Calibri"/>
                <w:sz w:val="20"/>
              </w:rPr>
              <w:t>Entrée d’argent</w:t>
            </w:r>
          </w:p>
        </w:tc>
      </w:tr>
      <w:tr w:rsidR="00AC05BA" w:rsidRPr="00AC05BA" w14:paraId="04E1D8C2" w14:textId="77777777" w:rsidTr="00AC05BA">
        <w:tc>
          <w:tcPr>
            <w:tcW w:w="0" w:type="auto"/>
            <w:hideMark/>
          </w:tcPr>
          <w:p w14:paraId="7EC8F560" w14:textId="77777777" w:rsidR="00AC05BA" w:rsidRPr="00AC05BA" w:rsidRDefault="00AC05BA" w:rsidP="00AC05BA">
            <w:pPr>
              <w:jc w:val="left"/>
              <w:rPr>
                <w:rFonts w:ascii="Calibri" w:hAnsi="Calibri" w:cs="Calibri"/>
                <w:sz w:val="20"/>
              </w:rPr>
            </w:pPr>
            <w:r w:rsidRPr="00AC05BA">
              <w:rPr>
                <w:rFonts w:ascii="Calibri" w:hAnsi="Calibri" w:cs="Calibri"/>
                <w:sz w:val="20"/>
              </w:rPr>
              <w:t>Apport en nature</w:t>
            </w:r>
          </w:p>
        </w:tc>
        <w:tc>
          <w:tcPr>
            <w:tcW w:w="0" w:type="auto"/>
            <w:hideMark/>
          </w:tcPr>
          <w:p w14:paraId="7E7A6533" w14:textId="77777777" w:rsidR="00AC05BA" w:rsidRPr="00AC05BA" w:rsidRDefault="00AC05BA" w:rsidP="00AC05BA">
            <w:pPr>
              <w:jc w:val="left"/>
              <w:rPr>
                <w:rFonts w:ascii="Calibri" w:hAnsi="Calibri" w:cs="Calibri"/>
                <w:sz w:val="20"/>
              </w:rPr>
            </w:pPr>
            <w:r w:rsidRPr="00AC05BA">
              <w:rPr>
                <w:rFonts w:ascii="Calibri" w:hAnsi="Calibri" w:cs="Calibri"/>
                <w:sz w:val="20"/>
              </w:rPr>
              <w:t>Oui, sous forme de bien</w:t>
            </w:r>
          </w:p>
        </w:tc>
        <w:tc>
          <w:tcPr>
            <w:tcW w:w="0" w:type="auto"/>
            <w:hideMark/>
          </w:tcPr>
          <w:p w14:paraId="38894326" w14:textId="77777777" w:rsidR="00AC05BA" w:rsidRPr="00AC05BA" w:rsidRDefault="00AC05BA" w:rsidP="00AC05BA">
            <w:pPr>
              <w:jc w:val="left"/>
              <w:rPr>
                <w:rFonts w:ascii="Calibri" w:hAnsi="Calibri" w:cs="Calibri"/>
                <w:sz w:val="20"/>
              </w:rPr>
            </w:pPr>
            <w:r w:rsidRPr="00AC05BA">
              <w:rPr>
                <w:rFonts w:ascii="Calibri" w:hAnsi="Calibri" w:cs="Calibri"/>
                <w:sz w:val="20"/>
              </w:rPr>
              <w:t>Entrée d’un actif</w:t>
            </w:r>
          </w:p>
        </w:tc>
      </w:tr>
      <w:tr w:rsidR="00AC05BA" w:rsidRPr="00AC05BA" w14:paraId="331FADB3" w14:textId="77777777" w:rsidTr="00AC05BA">
        <w:tc>
          <w:tcPr>
            <w:tcW w:w="0" w:type="auto"/>
            <w:hideMark/>
          </w:tcPr>
          <w:p w14:paraId="674536AF" w14:textId="77777777" w:rsidR="00AC05BA" w:rsidRPr="00AC05BA" w:rsidRDefault="00AC05BA" w:rsidP="00AC05BA">
            <w:pPr>
              <w:jc w:val="left"/>
              <w:rPr>
                <w:rFonts w:ascii="Calibri" w:hAnsi="Calibri" w:cs="Calibri"/>
                <w:sz w:val="20"/>
              </w:rPr>
            </w:pPr>
            <w:r w:rsidRPr="00AC05BA">
              <w:rPr>
                <w:rFonts w:ascii="Calibri" w:hAnsi="Calibri" w:cs="Calibri"/>
                <w:sz w:val="20"/>
              </w:rPr>
              <w:t>Compensation de créance</w:t>
            </w:r>
          </w:p>
        </w:tc>
        <w:tc>
          <w:tcPr>
            <w:tcW w:w="0" w:type="auto"/>
            <w:hideMark/>
          </w:tcPr>
          <w:p w14:paraId="654FB7DB" w14:textId="77777777" w:rsidR="00AC05BA" w:rsidRPr="00AC05BA" w:rsidRDefault="00AC05BA" w:rsidP="00AC05BA">
            <w:pPr>
              <w:jc w:val="left"/>
              <w:rPr>
                <w:rFonts w:ascii="Calibri" w:hAnsi="Calibri" w:cs="Calibri"/>
                <w:sz w:val="20"/>
              </w:rPr>
            </w:pPr>
            <w:r w:rsidRPr="00AC05BA">
              <w:rPr>
                <w:rFonts w:ascii="Calibri" w:hAnsi="Calibri" w:cs="Calibri"/>
                <w:sz w:val="20"/>
              </w:rPr>
              <w:t>Non en trésorerie</w:t>
            </w:r>
          </w:p>
        </w:tc>
        <w:tc>
          <w:tcPr>
            <w:tcW w:w="0" w:type="auto"/>
            <w:hideMark/>
          </w:tcPr>
          <w:p w14:paraId="3E4D360F" w14:textId="77777777" w:rsidR="00AC05BA" w:rsidRPr="00AC05BA" w:rsidRDefault="00AC05BA" w:rsidP="00AC05BA">
            <w:pPr>
              <w:jc w:val="left"/>
              <w:rPr>
                <w:rFonts w:ascii="Calibri" w:hAnsi="Calibri" w:cs="Calibri"/>
                <w:sz w:val="20"/>
              </w:rPr>
            </w:pPr>
            <w:r w:rsidRPr="00AC05BA">
              <w:rPr>
                <w:rFonts w:ascii="Calibri" w:hAnsi="Calibri" w:cs="Calibri"/>
                <w:sz w:val="20"/>
              </w:rPr>
              <w:t>Transformation d’une dette en capital</w:t>
            </w:r>
          </w:p>
        </w:tc>
      </w:tr>
      <w:tr w:rsidR="00AC05BA" w:rsidRPr="00AC05BA" w14:paraId="4DCC08E1" w14:textId="77777777" w:rsidTr="00AC05BA">
        <w:tc>
          <w:tcPr>
            <w:tcW w:w="0" w:type="auto"/>
            <w:hideMark/>
          </w:tcPr>
          <w:p w14:paraId="6157741B" w14:textId="77777777" w:rsidR="00AC05BA" w:rsidRPr="00AC05BA" w:rsidRDefault="00AC05BA" w:rsidP="00AC05BA">
            <w:pPr>
              <w:jc w:val="left"/>
              <w:rPr>
                <w:rFonts w:ascii="Calibri" w:hAnsi="Calibri" w:cs="Calibri"/>
                <w:sz w:val="20"/>
              </w:rPr>
            </w:pPr>
            <w:r w:rsidRPr="00AC05BA">
              <w:rPr>
                <w:rFonts w:ascii="Calibri" w:hAnsi="Calibri" w:cs="Calibri"/>
                <w:sz w:val="20"/>
              </w:rPr>
              <w:t>Incorporation de réserves</w:t>
            </w:r>
          </w:p>
        </w:tc>
        <w:tc>
          <w:tcPr>
            <w:tcW w:w="0" w:type="auto"/>
            <w:hideMark/>
          </w:tcPr>
          <w:p w14:paraId="730E25F8" w14:textId="77777777" w:rsidR="00AC05BA" w:rsidRPr="00AC05BA" w:rsidRDefault="00AC05BA" w:rsidP="00AC05BA">
            <w:pPr>
              <w:jc w:val="left"/>
              <w:rPr>
                <w:rFonts w:ascii="Calibri" w:hAnsi="Calibri" w:cs="Calibri"/>
                <w:sz w:val="20"/>
              </w:rPr>
            </w:pPr>
            <w:r w:rsidRPr="00AC05BA">
              <w:rPr>
                <w:rFonts w:ascii="Calibri" w:hAnsi="Calibri" w:cs="Calibri"/>
                <w:sz w:val="20"/>
              </w:rPr>
              <w:t>Non</w:t>
            </w:r>
          </w:p>
        </w:tc>
        <w:tc>
          <w:tcPr>
            <w:tcW w:w="0" w:type="auto"/>
            <w:hideMark/>
          </w:tcPr>
          <w:p w14:paraId="00D38618" w14:textId="77777777" w:rsidR="00AC05BA" w:rsidRPr="00AC05BA" w:rsidRDefault="00AC05BA" w:rsidP="00AC05BA">
            <w:pPr>
              <w:jc w:val="left"/>
              <w:rPr>
                <w:rFonts w:ascii="Calibri" w:hAnsi="Calibri" w:cs="Calibri"/>
                <w:sz w:val="20"/>
              </w:rPr>
            </w:pPr>
            <w:r w:rsidRPr="00AC05BA">
              <w:rPr>
                <w:rFonts w:ascii="Calibri" w:hAnsi="Calibri" w:cs="Calibri"/>
                <w:sz w:val="20"/>
              </w:rPr>
              <w:t>Reclassement interne des capitaux propres</w:t>
            </w:r>
          </w:p>
        </w:tc>
      </w:tr>
      <w:tr w:rsidR="00AC05BA" w:rsidRPr="00AC05BA" w14:paraId="3FFFDD1D" w14:textId="77777777" w:rsidTr="00AC05BA">
        <w:tc>
          <w:tcPr>
            <w:tcW w:w="0" w:type="auto"/>
            <w:hideMark/>
          </w:tcPr>
          <w:p w14:paraId="277D887E" w14:textId="77777777" w:rsidR="00AC05BA" w:rsidRPr="00AC05BA" w:rsidRDefault="00AC05BA" w:rsidP="00AC05BA">
            <w:pPr>
              <w:jc w:val="left"/>
              <w:rPr>
                <w:rFonts w:ascii="Calibri" w:hAnsi="Calibri" w:cs="Calibri"/>
                <w:sz w:val="20"/>
              </w:rPr>
            </w:pPr>
            <w:r w:rsidRPr="00AC05BA">
              <w:rPr>
                <w:rFonts w:ascii="Calibri" w:hAnsi="Calibri" w:cs="Calibri"/>
                <w:sz w:val="20"/>
              </w:rPr>
              <w:t>Incorporation de bénéfices</w:t>
            </w:r>
          </w:p>
        </w:tc>
        <w:tc>
          <w:tcPr>
            <w:tcW w:w="0" w:type="auto"/>
            <w:hideMark/>
          </w:tcPr>
          <w:p w14:paraId="15EA062B" w14:textId="77777777" w:rsidR="00AC05BA" w:rsidRPr="00AC05BA" w:rsidRDefault="00AC05BA" w:rsidP="00AC05BA">
            <w:pPr>
              <w:jc w:val="left"/>
              <w:rPr>
                <w:rFonts w:ascii="Calibri" w:hAnsi="Calibri" w:cs="Calibri"/>
                <w:sz w:val="20"/>
              </w:rPr>
            </w:pPr>
            <w:r w:rsidRPr="00AC05BA">
              <w:rPr>
                <w:rFonts w:ascii="Calibri" w:hAnsi="Calibri" w:cs="Calibri"/>
                <w:sz w:val="20"/>
              </w:rPr>
              <w:t>Non</w:t>
            </w:r>
          </w:p>
        </w:tc>
        <w:tc>
          <w:tcPr>
            <w:tcW w:w="0" w:type="auto"/>
            <w:hideMark/>
          </w:tcPr>
          <w:p w14:paraId="4DFB6288" w14:textId="77777777" w:rsidR="00AC05BA" w:rsidRPr="00AC05BA" w:rsidRDefault="00AC05BA" w:rsidP="00AC05BA">
            <w:pPr>
              <w:jc w:val="left"/>
              <w:rPr>
                <w:rFonts w:ascii="Calibri" w:hAnsi="Calibri" w:cs="Calibri"/>
                <w:sz w:val="20"/>
              </w:rPr>
            </w:pPr>
            <w:r w:rsidRPr="00AC05BA">
              <w:rPr>
                <w:rFonts w:ascii="Calibri" w:hAnsi="Calibri" w:cs="Calibri"/>
                <w:sz w:val="20"/>
              </w:rPr>
              <w:t>Bénéfices transformés en capital</w:t>
            </w:r>
          </w:p>
        </w:tc>
      </w:tr>
      <w:tr w:rsidR="00AC05BA" w:rsidRPr="00AC05BA" w14:paraId="365615E0" w14:textId="77777777" w:rsidTr="00AC05BA">
        <w:tc>
          <w:tcPr>
            <w:tcW w:w="0" w:type="auto"/>
            <w:hideMark/>
          </w:tcPr>
          <w:p w14:paraId="55D275FA" w14:textId="77777777" w:rsidR="00AC05BA" w:rsidRPr="00AC05BA" w:rsidRDefault="00AC05BA" w:rsidP="00AC05BA">
            <w:pPr>
              <w:jc w:val="left"/>
              <w:rPr>
                <w:rFonts w:ascii="Calibri" w:hAnsi="Calibri" w:cs="Calibri"/>
                <w:sz w:val="20"/>
              </w:rPr>
            </w:pPr>
            <w:r w:rsidRPr="00AC05BA">
              <w:rPr>
                <w:rFonts w:ascii="Calibri" w:hAnsi="Calibri" w:cs="Calibri"/>
                <w:sz w:val="20"/>
              </w:rPr>
              <w:t>Incorporation de prime d’émission</w:t>
            </w:r>
          </w:p>
        </w:tc>
        <w:tc>
          <w:tcPr>
            <w:tcW w:w="0" w:type="auto"/>
            <w:hideMark/>
          </w:tcPr>
          <w:p w14:paraId="0604ECDD" w14:textId="77777777" w:rsidR="00AC05BA" w:rsidRPr="00AC05BA" w:rsidRDefault="00AC05BA" w:rsidP="00AC05BA">
            <w:pPr>
              <w:jc w:val="left"/>
              <w:rPr>
                <w:rFonts w:ascii="Calibri" w:hAnsi="Calibri" w:cs="Calibri"/>
                <w:sz w:val="20"/>
              </w:rPr>
            </w:pPr>
            <w:r w:rsidRPr="00AC05BA">
              <w:rPr>
                <w:rFonts w:ascii="Calibri" w:hAnsi="Calibri" w:cs="Calibri"/>
                <w:sz w:val="20"/>
              </w:rPr>
              <w:t>Non</w:t>
            </w:r>
          </w:p>
        </w:tc>
        <w:tc>
          <w:tcPr>
            <w:tcW w:w="0" w:type="auto"/>
            <w:hideMark/>
          </w:tcPr>
          <w:p w14:paraId="05FF8320" w14:textId="77777777" w:rsidR="00AC05BA" w:rsidRPr="00AC05BA" w:rsidRDefault="00AC05BA" w:rsidP="00AC05BA">
            <w:pPr>
              <w:jc w:val="left"/>
              <w:rPr>
                <w:rFonts w:ascii="Calibri" w:hAnsi="Calibri" w:cs="Calibri"/>
                <w:sz w:val="20"/>
              </w:rPr>
            </w:pPr>
            <w:r w:rsidRPr="00AC05BA">
              <w:rPr>
                <w:rFonts w:ascii="Calibri" w:hAnsi="Calibri" w:cs="Calibri"/>
                <w:sz w:val="20"/>
              </w:rPr>
              <w:t>Prime transformée en capital</w:t>
            </w:r>
          </w:p>
        </w:tc>
      </w:tr>
    </w:tbl>
    <w:p w14:paraId="1F921582" w14:textId="77777777" w:rsidR="00AC05BA" w:rsidRPr="00AC05BA" w:rsidRDefault="00AC05BA" w:rsidP="00AC05BA">
      <w:pPr>
        <w:spacing w:after="0" w:line="240" w:lineRule="auto"/>
      </w:pPr>
      <w:r w:rsidRPr="00AC05BA">
        <w:t>Dans les sociétés par actions, l’article L. 225-128 autorise notamment la libération des titres nouveaux par numéraire, y compris par compensation avec des créances liquides et exigibles, apports en nature ou incorporation de réserves, bénéfices ou primes d’émission. (</w:t>
      </w:r>
      <w:hyperlink r:id="rId10" w:tooltip="Des sociétés anonymes. (Articles L225-1 à L225-270) - Légifrance" w:history="1">
        <w:r w:rsidRPr="00AC05BA">
          <w:rPr>
            <w:rStyle w:val="Lienhypertexte"/>
          </w:rPr>
          <w:t>Légifrance</w:t>
        </w:r>
      </w:hyperlink>
      <w:r w:rsidRPr="00AC05BA">
        <w:t>)</w:t>
      </w:r>
    </w:p>
    <w:p w14:paraId="424FDB9E" w14:textId="77777777" w:rsidR="00AC05BA" w:rsidRPr="00AC05BA" w:rsidRDefault="00AC05BA" w:rsidP="00AC05BA">
      <w:pPr>
        <w:pStyle w:val="Titre1"/>
      </w:pPr>
      <w:r w:rsidRPr="00AC05BA">
        <w:t>5. L’augmentation par apport en numéraire apporte de nouvelles liquidités</w:t>
      </w:r>
    </w:p>
    <w:p w14:paraId="0CA90981" w14:textId="77777777" w:rsidR="00AC05BA" w:rsidRPr="00AC05BA" w:rsidRDefault="00AC05BA" w:rsidP="00AC05BA">
      <w:pPr>
        <w:spacing w:after="0" w:line="240" w:lineRule="auto"/>
      </w:pPr>
      <w:r w:rsidRPr="00AC05BA">
        <w:t>Les associés ou de nouveaux investisseurs apportent de l’argent en contrepartie de nouveaux titres.</w:t>
      </w:r>
    </w:p>
    <w:p w14:paraId="4BDE49D1" w14:textId="77777777" w:rsidR="00AC05BA" w:rsidRPr="00AC05BA" w:rsidRDefault="00AC05BA" w:rsidP="00AC05BA">
      <w:pPr>
        <w:spacing w:after="0" w:line="240" w:lineRule="auto"/>
        <w:rPr>
          <w:b/>
          <w:bCs/>
        </w:rPr>
      </w:pPr>
      <w:r w:rsidRPr="00AC05BA">
        <w:rPr>
          <w:b/>
          <w:bCs/>
        </w:rPr>
        <w:t>SA</w:t>
      </w:r>
    </w:p>
    <w:p w14:paraId="29C2BA5B" w14:textId="089DECEE" w:rsidR="00AC05BA" w:rsidRPr="00AC05BA" w:rsidRDefault="00AC05BA" w:rsidP="00AC05BA">
      <w:pPr>
        <w:spacing w:after="0" w:line="240" w:lineRule="auto"/>
      </w:pPr>
      <w:r w:rsidRPr="00AC05BA">
        <w:t xml:space="preserve">Avant une nouvelle augmentation de capital en numéraire, le capital existant doit en principe être </w:t>
      </w:r>
      <w:r w:rsidRPr="00AC05BA">
        <w:rPr>
          <w:b/>
          <w:bCs/>
        </w:rPr>
        <w:t>intégralement libéré</w:t>
      </w:r>
      <w:r w:rsidRPr="00AC05BA">
        <w:t xml:space="preserve">. Les actions nouvelles sont libérées lors de la souscription d’au moins </w:t>
      </w:r>
      <w:r w:rsidRPr="00AC05BA">
        <w:rPr>
          <w:b/>
          <w:bCs/>
        </w:rPr>
        <w:t>un quart de leur valeur nominale</w:t>
      </w:r>
      <w:r w:rsidRPr="00AC05BA">
        <w:t>, ainsi que de la totalité de la prime d’émission éventuelle</w:t>
      </w:r>
      <w:r>
        <w:t> ;</w:t>
      </w:r>
      <w:r w:rsidRPr="00AC05BA">
        <w:t xml:space="preserve"> le solde doit être versé dans le délai légal. (</w:t>
      </w:r>
      <w:hyperlink r:id="rId11" w:tooltip="De l'augmentation du capital. (Articles L225-127 à L225-150)" w:history="1">
        <w:r w:rsidRPr="00AC05BA">
          <w:rPr>
            <w:rStyle w:val="Lienhypertexte"/>
          </w:rPr>
          <w:t>Légifrance</w:t>
        </w:r>
      </w:hyperlink>
      <w:r w:rsidRPr="00AC05BA">
        <w:t>)</w:t>
      </w:r>
    </w:p>
    <w:p w14:paraId="2E741053" w14:textId="77777777" w:rsidR="00AC05BA" w:rsidRPr="00AC05BA" w:rsidRDefault="00AC05BA" w:rsidP="00AC05BA">
      <w:pPr>
        <w:spacing w:after="0" w:line="240" w:lineRule="auto"/>
        <w:rPr>
          <w:b/>
          <w:bCs/>
        </w:rPr>
      </w:pPr>
      <w:r w:rsidRPr="00AC05BA">
        <w:rPr>
          <w:b/>
          <w:bCs/>
        </w:rPr>
        <w:t>SARL</w:t>
      </w:r>
    </w:p>
    <w:p w14:paraId="35A2FCC5" w14:textId="1777AD1F" w:rsidR="00AC05BA" w:rsidRPr="00AC05BA" w:rsidRDefault="00AC05BA" w:rsidP="00AC05BA">
      <w:pPr>
        <w:spacing w:after="0" w:line="240" w:lineRule="auto"/>
      </w:pPr>
      <w:r w:rsidRPr="00AC05BA">
        <w:t xml:space="preserve">Le capital existant doit également être intégralement libéré. Les nouvelles parts en numéraire doivent être libérées d’au moins </w:t>
      </w:r>
      <w:r w:rsidRPr="00AC05BA">
        <w:rPr>
          <w:b/>
          <w:bCs/>
        </w:rPr>
        <w:t>un quart de leur valeur nominale</w:t>
      </w:r>
      <w:r w:rsidRPr="00AC05BA">
        <w:t xml:space="preserve"> lors de la souscription</w:t>
      </w:r>
      <w:r>
        <w:t> ;</w:t>
      </w:r>
      <w:r w:rsidRPr="00AC05BA">
        <w:t xml:space="preserve"> le surplus doit être libéré dans les cinq ans suivant la réalisation définitive de l’augmentation. (</w:t>
      </w:r>
      <w:hyperlink r:id="rId12" w:tooltip="Article L223-32 - Code de commerce" w:history="1">
        <w:r w:rsidRPr="00AC05BA">
          <w:rPr>
            <w:rStyle w:val="Lienhypertexte"/>
          </w:rPr>
          <w:t>Légifrance</w:t>
        </w:r>
      </w:hyperlink>
      <w:r w:rsidRPr="00AC05BA">
        <w:t>)</w:t>
      </w:r>
    </w:p>
    <w:p w14:paraId="48C7E962" w14:textId="77777777" w:rsidR="00AC05BA" w:rsidRPr="00AC05BA" w:rsidRDefault="00AC05BA" w:rsidP="00AC05BA">
      <w:pPr>
        <w:spacing w:after="0" w:line="240" w:lineRule="auto"/>
        <w:rPr>
          <w:b/>
          <w:bCs/>
        </w:rPr>
      </w:pPr>
      <w:r w:rsidRPr="00AC05BA">
        <w:rPr>
          <w:b/>
          <w:bCs/>
        </w:rPr>
        <w:t>Exemple</w:t>
      </w:r>
    </w:p>
    <w:p w14:paraId="385129F2" w14:textId="399ADF68" w:rsidR="00AC05BA" w:rsidRPr="00AC05BA" w:rsidRDefault="00AC05BA" w:rsidP="00AC05BA">
      <w:pPr>
        <w:spacing w:after="0" w:line="240" w:lineRule="auto"/>
      </w:pPr>
      <w:r w:rsidRPr="00AC05BA">
        <w:t>Une société émet 1 000 titres nouveaux de 100</w:t>
      </w:r>
      <w:r>
        <w:t> €</w:t>
      </w:r>
      <w:r w:rsidRPr="00AC05BA">
        <w:t>.</w:t>
      </w:r>
    </w:p>
    <w:p w14:paraId="1CC2FE7C" w14:textId="17EF8560" w:rsidR="00AC05BA" w:rsidRPr="00AC05BA" w:rsidRDefault="00AC05BA" w:rsidP="00AC05BA">
      <w:pPr>
        <w:spacing w:after="0" w:line="240" w:lineRule="auto"/>
      </w:pPr>
      <w:r w:rsidRPr="00AC05BA">
        <w:t>Capital supplémentaire</w:t>
      </w:r>
      <w:r>
        <w:t> :</w:t>
      </w:r>
    </w:p>
    <w:p w14:paraId="7FA99F27" w14:textId="1F266FD3" w:rsidR="00AC05BA" w:rsidRPr="00AC05BA" w:rsidRDefault="00AC05BA" w:rsidP="00AC05BA">
      <w:pPr>
        <w:spacing w:after="0" w:line="240" w:lineRule="auto"/>
      </w:pPr>
      <w:r w:rsidRPr="00AC05BA">
        <w:rPr>
          <w:b/>
          <w:bCs/>
        </w:rPr>
        <w:t>100 000</w:t>
      </w:r>
      <w:r>
        <w:rPr>
          <w:b/>
          <w:bCs/>
        </w:rPr>
        <w:t> €</w:t>
      </w:r>
    </w:p>
    <w:p w14:paraId="294B9FA5" w14:textId="3640C019" w:rsidR="00AC05BA" w:rsidRPr="00AC05BA" w:rsidRDefault="00AC05BA" w:rsidP="00AC05BA">
      <w:pPr>
        <w:spacing w:after="0" w:line="240" w:lineRule="auto"/>
      </w:pPr>
      <w:r w:rsidRPr="00AC05BA">
        <w:t>Si le prix de souscription est fixé à 150</w:t>
      </w:r>
      <w:r>
        <w:t> €</w:t>
      </w:r>
      <w:r w:rsidRPr="00AC05BA">
        <w:t xml:space="preserve"> par titre</w:t>
      </w:r>
      <w:r>
        <w:t> :</w:t>
      </w:r>
    </w:p>
    <w:p w14:paraId="553835D0" w14:textId="0CD70D7D" w:rsidR="00AC05BA" w:rsidRPr="00AC05BA" w:rsidRDefault="00AC05BA">
      <w:pPr>
        <w:numPr>
          <w:ilvl w:val="0"/>
          <w:numId w:val="3"/>
        </w:numPr>
        <w:spacing w:after="0" w:line="240" w:lineRule="auto"/>
      </w:pPr>
      <w:r w:rsidRPr="00AC05BA">
        <w:t>capital</w:t>
      </w:r>
      <w:r>
        <w:t> :</w:t>
      </w:r>
      <w:r w:rsidRPr="00AC05BA">
        <w:t xml:space="preserve"> 100 000</w:t>
      </w:r>
      <w:r>
        <w:t> € ;</w:t>
      </w:r>
    </w:p>
    <w:p w14:paraId="6875413B" w14:textId="2C997E8D" w:rsidR="00AC05BA" w:rsidRPr="00AC05BA" w:rsidRDefault="00AC05BA">
      <w:pPr>
        <w:numPr>
          <w:ilvl w:val="0"/>
          <w:numId w:val="3"/>
        </w:numPr>
        <w:spacing w:after="0" w:line="240" w:lineRule="auto"/>
      </w:pPr>
      <w:r w:rsidRPr="00AC05BA">
        <w:t>prime d’émission</w:t>
      </w:r>
      <w:r>
        <w:t> :</w:t>
      </w:r>
      <w:r w:rsidRPr="00AC05BA">
        <w:t xml:space="preserve"> 50 000</w:t>
      </w:r>
      <w:r>
        <w:t> € ;</w:t>
      </w:r>
    </w:p>
    <w:p w14:paraId="75545803" w14:textId="59479F16" w:rsidR="00AC05BA" w:rsidRPr="00AC05BA" w:rsidRDefault="00AC05BA">
      <w:pPr>
        <w:numPr>
          <w:ilvl w:val="0"/>
          <w:numId w:val="3"/>
        </w:numPr>
        <w:spacing w:after="0" w:line="240" w:lineRule="auto"/>
      </w:pPr>
      <w:r w:rsidRPr="00AC05BA">
        <w:t>ressources reçues</w:t>
      </w:r>
      <w:r>
        <w:t> :</w:t>
      </w:r>
      <w:r w:rsidRPr="00AC05BA">
        <w:t xml:space="preserve"> 150 000</w:t>
      </w:r>
      <w:r>
        <w:t> €</w:t>
      </w:r>
      <w:r w:rsidRPr="00AC05BA">
        <w:t>.</w:t>
      </w:r>
    </w:p>
    <w:p w14:paraId="3FC1544A" w14:textId="77777777" w:rsidR="00AC05BA" w:rsidRPr="00AC05BA" w:rsidRDefault="00AC05BA" w:rsidP="00AC05BA">
      <w:pPr>
        <w:pStyle w:val="Titre1"/>
      </w:pPr>
      <w:r w:rsidRPr="00AC05BA">
        <w:t>6. La prime d’émission évite de favoriser indûment les nouveaux associés</w:t>
      </w:r>
    </w:p>
    <w:p w14:paraId="76CB759E" w14:textId="596DF160" w:rsidR="00AC05BA" w:rsidRPr="00AC05BA" w:rsidRDefault="00AC05BA" w:rsidP="00AC05BA">
      <w:pPr>
        <w:spacing w:after="0" w:line="240" w:lineRule="auto"/>
      </w:pPr>
      <w:r w:rsidRPr="00AC05BA">
        <w:t>Une société ancienne peut avoir accumulé</w:t>
      </w:r>
      <w:r>
        <w:t> :</w:t>
      </w:r>
    </w:p>
    <w:p w14:paraId="766C2D53" w14:textId="071CA92C" w:rsidR="00AC05BA" w:rsidRPr="00AC05BA" w:rsidRDefault="00AC05BA">
      <w:pPr>
        <w:numPr>
          <w:ilvl w:val="0"/>
          <w:numId w:val="4"/>
        </w:numPr>
        <w:spacing w:after="0" w:line="240" w:lineRule="auto"/>
      </w:pPr>
      <w:r w:rsidRPr="00AC05BA">
        <w:t>des réserves</w:t>
      </w:r>
      <w:r>
        <w:t> ;</w:t>
      </w:r>
    </w:p>
    <w:p w14:paraId="2F13BDF8" w14:textId="224C3EC4" w:rsidR="00AC05BA" w:rsidRPr="00AC05BA" w:rsidRDefault="00AC05BA">
      <w:pPr>
        <w:numPr>
          <w:ilvl w:val="0"/>
          <w:numId w:val="4"/>
        </w:numPr>
        <w:spacing w:after="0" w:line="240" w:lineRule="auto"/>
      </w:pPr>
      <w:r w:rsidRPr="00AC05BA">
        <w:t>des bénéfices non distribués</w:t>
      </w:r>
      <w:r>
        <w:t> ;</w:t>
      </w:r>
    </w:p>
    <w:p w14:paraId="236B8D77" w14:textId="365E679A" w:rsidR="00AC05BA" w:rsidRPr="00AC05BA" w:rsidRDefault="00AC05BA">
      <w:pPr>
        <w:numPr>
          <w:ilvl w:val="0"/>
          <w:numId w:val="4"/>
        </w:numPr>
        <w:spacing w:after="0" w:line="240" w:lineRule="auto"/>
      </w:pPr>
      <w:r w:rsidRPr="00AC05BA">
        <w:t>une clientèle</w:t>
      </w:r>
      <w:r>
        <w:t> ;</w:t>
      </w:r>
    </w:p>
    <w:p w14:paraId="701ED4CF" w14:textId="77777777" w:rsidR="00AC05BA" w:rsidRPr="00AC05BA" w:rsidRDefault="00AC05BA">
      <w:pPr>
        <w:numPr>
          <w:ilvl w:val="0"/>
          <w:numId w:val="4"/>
        </w:numPr>
        <w:spacing w:after="0" w:line="240" w:lineRule="auto"/>
      </w:pPr>
      <w:r w:rsidRPr="00AC05BA">
        <w:t>une valeur économique supérieure à son seul capital nominal.</w:t>
      </w:r>
    </w:p>
    <w:p w14:paraId="69D70D72" w14:textId="77777777" w:rsidR="00AC05BA" w:rsidRPr="00AC05BA" w:rsidRDefault="00AC05BA" w:rsidP="00AC05BA">
      <w:pPr>
        <w:spacing w:after="0" w:line="240" w:lineRule="auto"/>
      </w:pPr>
      <w:r w:rsidRPr="00AC05BA">
        <w:t>Si un nouvel actionnaire souscrivait des actions nouvelles à leur seule valeur nominale, il pourrait bénéficier immédiatement d’une partie de cette richesse sans l’avoir financée.</w:t>
      </w:r>
    </w:p>
    <w:p w14:paraId="7A2BBF2E" w14:textId="30931EE3" w:rsidR="00AC05BA" w:rsidRPr="00AC05BA" w:rsidRDefault="00AC05BA" w:rsidP="00AC05BA">
      <w:pPr>
        <w:spacing w:after="0" w:line="240" w:lineRule="auto"/>
      </w:pPr>
      <w:r w:rsidRPr="00AC05BA">
        <w:t xml:space="preserve">La </w:t>
      </w:r>
      <w:r w:rsidRPr="00AC05BA">
        <w:rPr>
          <w:b/>
          <w:bCs/>
        </w:rPr>
        <w:t>prime d’émission</w:t>
      </w:r>
      <w:r w:rsidRPr="00AC05BA">
        <w:t xml:space="preserve"> correspond à la différence entre</w:t>
      </w:r>
      <w:r>
        <w:t> :</w:t>
      </w:r>
    </w:p>
    <w:p w14:paraId="7B522FB5" w14:textId="77777777" w:rsidR="00AC05BA" w:rsidRPr="00AC05BA" w:rsidRDefault="00AC05BA" w:rsidP="00AC05BA">
      <w:pPr>
        <w:spacing w:after="0" w:line="240" w:lineRule="auto"/>
      </w:pPr>
      <w:r w:rsidRPr="00AC05BA">
        <w:rPr>
          <w:b/>
          <w:bCs/>
        </w:rPr>
        <w:t>prix d’émission − valeur nominale</w:t>
      </w:r>
    </w:p>
    <w:p w14:paraId="1AFD3774" w14:textId="77777777" w:rsidR="00AC05BA" w:rsidRPr="00AC05BA" w:rsidRDefault="00AC05BA" w:rsidP="00AC05BA">
      <w:pPr>
        <w:spacing w:after="0" w:line="240" w:lineRule="auto"/>
      </w:pPr>
      <w:r w:rsidRPr="00AC05BA">
        <w:t>Le Code autorise expressément l’émission des titres nouveaux au nominal ou au nominal augmenté d’une prime. (</w:t>
      </w:r>
      <w:hyperlink r:id="rId13" w:tooltip="Des sociétés anonymes. (Articles L225-1 à L225-270) - Légifrance" w:history="1">
        <w:r w:rsidRPr="00AC05BA">
          <w:rPr>
            <w:rStyle w:val="Lienhypertexte"/>
          </w:rPr>
          <w:t>Légifrance</w:t>
        </w:r>
      </w:hyperlink>
      <w:r w:rsidRPr="00AC05BA">
        <w:t>)</w:t>
      </w:r>
    </w:p>
    <w:p w14:paraId="7F452AFD" w14:textId="77777777" w:rsidR="00AC05BA" w:rsidRPr="00AC05BA" w:rsidRDefault="00AC05BA" w:rsidP="00AC05BA">
      <w:pPr>
        <w:spacing w:after="0" w:line="240" w:lineRule="auto"/>
        <w:rPr>
          <w:b/>
          <w:bCs/>
        </w:rPr>
      </w:pPr>
      <w:r w:rsidRPr="00AC05BA">
        <w:rPr>
          <w:b/>
          <w:bCs/>
        </w:rPr>
        <w:lastRenderedPageBreak/>
        <w:t>Exemple</w:t>
      </w:r>
    </w:p>
    <w:p w14:paraId="4DD77F48" w14:textId="74BBD048" w:rsidR="00AC05BA" w:rsidRDefault="00AC05BA" w:rsidP="00AC05BA">
      <w:pPr>
        <w:spacing w:after="0" w:line="240" w:lineRule="auto"/>
      </w:pPr>
      <w:r w:rsidRPr="00AC05BA">
        <w:t>Valeur nominale</w:t>
      </w:r>
      <w:r>
        <w:t> :</w:t>
      </w:r>
      <w:r w:rsidRPr="00AC05BA">
        <w:t xml:space="preserve"> 100</w:t>
      </w:r>
      <w:r>
        <w:t> €</w:t>
      </w:r>
    </w:p>
    <w:p w14:paraId="1B8F218D" w14:textId="7BAD0290" w:rsidR="00AC05BA" w:rsidRPr="00AC05BA" w:rsidRDefault="00AC05BA" w:rsidP="00AC05BA">
      <w:pPr>
        <w:spacing w:after="0" w:line="240" w:lineRule="auto"/>
      </w:pPr>
      <w:r w:rsidRPr="00AC05BA">
        <w:t>Prix d’émission</w:t>
      </w:r>
      <w:r>
        <w:t> :</w:t>
      </w:r>
      <w:r w:rsidRPr="00AC05BA">
        <w:t xml:space="preserve"> 160</w:t>
      </w:r>
      <w:r>
        <w:t> €</w:t>
      </w:r>
    </w:p>
    <w:p w14:paraId="5D06D897" w14:textId="1CEA93E3" w:rsidR="00AC05BA" w:rsidRPr="00AC05BA" w:rsidRDefault="00AC05BA" w:rsidP="00AC05BA">
      <w:pPr>
        <w:spacing w:after="0" w:line="240" w:lineRule="auto"/>
      </w:pPr>
      <w:r w:rsidRPr="00AC05BA">
        <w:t>Prime d’émission</w:t>
      </w:r>
      <w:r>
        <w:t> :</w:t>
      </w:r>
    </w:p>
    <w:p w14:paraId="6AB005CD" w14:textId="684CF9EA" w:rsidR="00AC05BA" w:rsidRPr="00AC05BA" w:rsidRDefault="00AC05BA" w:rsidP="00AC05BA">
      <w:pPr>
        <w:spacing w:after="0" w:line="240" w:lineRule="auto"/>
      </w:pPr>
      <w:r w:rsidRPr="00AC05BA">
        <w:rPr>
          <w:b/>
          <w:bCs/>
        </w:rPr>
        <w:t>160 − 100 = 60</w:t>
      </w:r>
      <w:r>
        <w:rPr>
          <w:b/>
          <w:bCs/>
        </w:rPr>
        <w:t> €</w:t>
      </w:r>
      <w:r w:rsidRPr="00AC05BA">
        <w:rPr>
          <w:b/>
          <w:bCs/>
        </w:rPr>
        <w:t xml:space="preserve"> par action</w:t>
      </w:r>
    </w:p>
    <w:p w14:paraId="7DDB675B" w14:textId="77777777" w:rsidR="00AC05BA" w:rsidRPr="00AC05BA" w:rsidRDefault="00AC05BA" w:rsidP="00AC05BA">
      <w:pPr>
        <w:spacing w:after="0" w:line="240" w:lineRule="auto"/>
      </w:pPr>
      <w:r w:rsidRPr="00AC05BA">
        <w:t>La prime n’est pas elle-même du capital social, mais elle appartient aux capitaux propres.</w:t>
      </w:r>
    </w:p>
    <w:p w14:paraId="6518FEC0" w14:textId="77777777" w:rsidR="00AC05BA" w:rsidRPr="00AC05BA" w:rsidRDefault="00AC05BA" w:rsidP="00AC05BA">
      <w:pPr>
        <w:pStyle w:val="Titre1"/>
      </w:pPr>
      <w:r w:rsidRPr="00AC05BA">
        <w:t>7. L’augmentation par apport en nature fait entrer un bien dans la société</w:t>
      </w:r>
    </w:p>
    <w:p w14:paraId="0AF1ECC9" w14:textId="7A35D326" w:rsidR="00AC05BA" w:rsidRPr="00AC05BA" w:rsidRDefault="00AC05BA" w:rsidP="00AC05BA">
      <w:pPr>
        <w:spacing w:after="0" w:line="240" w:lineRule="auto"/>
      </w:pPr>
      <w:r w:rsidRPr="00AC05BA">
        <w:t>L’augmentation peut être réalisée par l’apport</w:t>
      </w:r>
      <w:r>
        <w:t> :</w:t>
      </w:r>
    </w:p>
    <w:p w14:paraId="7E15971C" w14:textId="06033A8B" w:rsidR="00AC05BA" w:rsidRPr="00AC05BA" w:rsidRDefault="00AC05BA">
      <w:pPr>
        <w:numPr>
          <w:ilvl w:val="0"/>
          <w:numId w:val="5"/>
        </w:numPr>
        <w:spacing w:after="0" w:line="240" w:lineRule="auto"/>
      </w:pPr>
      <w:r w:rsidRPr="00AC05BA">
        <w:t>d’un immeuble</w:t>
      </w:r>
      <w:r>
        <w:t> ;</w:t>
      </w:r>
    </w:p>
    <w:p w14:paraId="1D5300F0" w14:textId="4FB0C38B" w:rsidR="00AC05BA" w:rsidRPr="00AC05BA" w:rsidRDefault="00AC05BA">
      <w:pPr>
        <w:numPr>
          <w:ilvl w:val="0"/>
          <w:numId w:val="5"/>
        </w:numPr>
        <w:spacing w:after="0" w:line="240" w:lineRule="auto"/>
      </w:pPr>
      <w:r w:rsidRPr="00AC05BA">
        <w:t>d’un fonds de commerce</w:t>
      </w:r>
      <w:r>
        <w:t> ;</w:t>
      </w:r>
    </w:p>
    <w:p w14:paraId="1457C318" w14:textId="06A4B200" w:rsidR="00AC05BA" w:rsidRPr="00AC05BA" w:rsidRDefault="00AC05BA">
      <w:pPr>
        <w:numPr>
          <w:ilvl w:val="0"/>
          <w:numId w:val="5"/>
        </w:numPr>
        <w:spacing w:after="0" w:line="240" w:lineRule="auto"/>
      </w:pPr>
      <w:r w:rsidRPr="00AC05BA">
        <w:t>de titres</w:t>
      </w:r>
      <w:r>
        <w:t> ;</w:t>
      </w:r>
    </w:p>
    <w:p w14:paraId="05E42346" w14:textId="70974581" w:rsidR="00AC05BA" w:rsidRPr="00AC05BA" w:rsidRDefault="00AC05BA">
      <w:pPr>
        <w:numPr>
          <w:ilvl w:val="0"/>
          <w:numId w:val="5"/>
        </w:numPr>
        <w:spacing w:after="0" w:line="240" w:lineRule="auto"/>
      </w:pPr>
      <w:r w:rsidRPr="00AC05BA">
        <w:t>d’un matériel</w:t>
      </w:r>
      <w:r>
        <w:t> ;</w:t>
      </w:r>
    </w:p>
    <w:p w14:paraId="1C29E6B6" w14:textId="4F428D08" w:rsidR="00AC05BA" w:rsidRPr="00AC05BA" w:rsidRDefault="00AC05BA">
      <w:pPr>
        <w:numPr>
          <w:ilvl w:val="0"/>
          <w:numId w:val="5"/>
        </w:numPr>
        <w:spacing w:after="0" w:line="240" w:lineRule="auto"/>
      </w:pPr>
      <w:r w:rsidRPr="00AC05BA">
        <w:t>d’un brevet</w:t>
      </w:r>
      <w:r>
        <w:t> ;</w:t>
      </w:r>
    </w:p>
    <w:p w14:paraId="0E848307" w14:textId="77777777" w:rsidR="00AC05BA" w:rsidRPr="00AC05BA" w:rsidRDefault="00AC05BA">
      <w:pPr>
        <w:numPr>
          <w:ilvl w:val="0"/>
          <w:numId w:val="5"/>
        </w:numPr>
        <w:spacing w:after="0" w:line="240" w:lineRule="auto"/>
      </w:pPr>
      <w:r w:rsidRPr="00AC05BA">
        <w:t>ou d’un autre bien susceptible d’apport.</w:t>
      </w:r>
    </w:p>
    <w:p w14:paraId="0CA34BC8" w14:textId="138297CA" w:rsidR="00AC05BA" w:rsidRPr="00AC05BA" w:rsidRDefault="00AC05BA" w:rsidP="00AC05BA">
      <w:pPr>
        <w:spacing w:after="0" w:line="240" w:lineRule="auto"/>
      </w:pPr>
      <w:r w:rsidRPr="00AC05BA">
        <w:lastRenderedPageBreak/>
        <w:t xml:space="preserve">Dans une SARL, les apports en nature réalisés lors d’une augmentation de capital relèvent du régime du </w:t>
      </w:r>
      <w:r w:rsidRPr="00AC05BA">
        <w:rPr>
          <w:b/>
          <w:bCs/>
        </w:rPr>
        <w:t>commissaire aux apports</w:t>
      </w:r>
      <w:r>
        <w:t> ;</w:t>
      </w:r>
      <w:r w:rsidRPr="00AC05BA">
        <w:t xml:space="preserve"> celui-ci est désigné à l’unanimité des associés ou, à défaut, judiciairement. (</w:t>
      </w:r>
      <w:hyperlink r:id="rId14" w:tooltip="Code de commerce - Article L223-33" w:history="1">
        <w:r w:rsidRPr="00AC05BA">
          <w:rPr>
            <w:rStyle w:val="Lienhypertexte"/>
          </w:rPr>
          <w:t>Légifrance</w:t>
        </w:r>
      </w:hyperlink>
      <w:r w:rsidRPr="00AC05BA">
        <w:t>)</w:t>
      </w:r>
    </w:p>
    <w:p w14:paraId="6F9EFFE2" w14:textId="77777777" w:rsidR="00AC05BA" w:rsidRPr="00AC05BA" w:rsidRDefault="00AC05BA" w:rsidP="00AC05BA">
      <w:pPr>
        <w:spacing w:after="0" w:line="240" w:lineRule="auto"/>
      </w:pPr>
      <w:r w:rsidRPr="00AC05BA">
        <w:t>Dans les sociétés par actions, l’évaluation des apports en nature est également encadrée par les dispositions relatives au commissaire aux apports.</w:t>
      </w:r>
    </w:p>
    <w:p w14:paraId="41CB8533" w14:textId="77777777" w:rsidR="00AC05BA" w:rsidRPr="00AC05BA" w:rsidRDefault="00AC05BA" w:rsidP="00AC05BA">
      <w:pPr>
        <w:spacing w:after="0" w:line="240" w:lineRule="auto"/>
        <w:rPr>
          <w:b/>
          <w:bCs/>
        </w:rPr>
      </w:pPr>
      <w:r w:rsidRPr="00AC05BA">
        <w:rPr>
          <w:b/>
          <w:bCs/>
        </w:rPr>
        <w:t>À ne pas confondre</w:t>
      </w:r>
    </w:p>
    <w:p w14:paraId="37C1D85C" w14:textId="56DFE15E" w:rsidR="00AC05BA" w:rsidRPr="00AC05BA" w:rsidRDefault="00AC05BA">
      <w:pPr>
        <w:numPr>
          <w:ilvl w:val="0"/>
          <w:numId w:val="6"/>
        </w:numPr>
        <w:spacing w:after="0" w:line="240" w:lineRule="auto"/>
      </w:pPr>
      <w:r w:rsidRPr="00AC05BA">
        <w:rPr>
          <w:b/>
          <w:bCs/>
        </w:rPr>
        <w:t>commissaire aux comptes (CAC)</w:t>
      </w:r>
      <w:r>
        <w:t> :</w:t>
      </w:r>
      <w:r w:rsidRPr="00AC05BA">
        <w:t xml:space="preserve"> contrôle légal des comptes et missions particulières prévues par la loi</w:t>
      </w:r>
      <w:r>
        <w:t> ;</w:t>
      </w:r>
    </w:p>
    <w:p w14:paraId="22960B4E" w14:textId="521DAEC9" w:rsidR="00AC05BA" w:rsidRPr="00AC05BA" w:rsidRDefault="00AC05BA">
      <w:pPr>
        <w:numPr>
          <w:ilvl w:val="0"/>
          <w:numId w:val="6"/>
        </w:numPr>
        <w:spacing w:after="0" w:line="240" w:lineRule="auto"/>
      </w:pPr>
      <w:r w:rsidRPr="00AC05BA">
        <w:rPr>
          <w:b/>
          <w:bCs/>
        </w:rPr>
        <w:t>commissaire aux apports</w:t>
      </w:r>
      <w:r>
        <w:t> :</w:t>
      </w:r>
      <w:r w:rsidRPr="00AC05BA">
        <w:t xml:space="preserve"> apprécie la valeur de biens apportés.</w:t>
      </w:r>
    </w:p>
    <w:p w14:paraId="713C668E" w14:textId="77777777" w:rsidR="00AC05BA" w:rsidRPr="00AC05BA" w:rsidRDefault="00AC05BA" w:rsidP="00AC05BA">
      <w:pPr>
        <w:spacing w:after="0" w:line="240" w:lineRule="auto"/>
      </w:pPr>
      <w:r w:rsidRPr="00AC05BA">
        <w:t xml:space="preserve">Une même profession peut intervenir, mais </w:t>
      </w:r>
      <w:r w:rsidRPr="00AC05BA">
        <w:rPr>
          <w:b/>
          <w:bCs/>
        </w:rPr>
        <w:t>la mission juridique n’est pas la même</w:t>
      </w:r>
      <w:r w:rsidRPr="00AC05BA">
        <w:t>.</w:t>
      </w:r>
    </w:p>
    <w:p w14:paraId="353750C5" w14:textId="77777777" w:rsidR="00AC05BA" w:rsidRPr="00AC05BA" w:rsidRDefault="00AC05BA" w:rsidP="00AC05BA">
      <w:pPr>
        <w:pStyle w:val="Titre1"/>
      </w:pPr>
      <w:r w:rsidRPr="00AC05BA">
        <w:t>8. L’incorporation de réserves n’apporte aucun financement nouveau</w:t>
      </w:r>
    </w:p>
    <w:p w14:paraId="262260B9" w14:textId="134B9255" w:rsidR="00AC05BA" w:rsidRPr="00AC05BA" w:rsidRDefault="00AC05BA" w:rsidP="00AC05BA">
      <w:pPr>
        <w:spacing w:after="0" w:line="240" w:lineRule="auto"/>
      </w:pPr>
      <w:r w:rsidRPr="00AC05BA">
        <w:t>L’incorporation consiste à transférer dans le capital une somme qui figurait déjà dans les capitaux propres</w:t>
      </w:r>
      <w:r>
        <w:t> :</w:t>
      </w:r>
    </w:p>
    <w:p w14:paraId="0FE553CE" w14:textId="717FE28B" w:rsidR="00AC05BA" w:rsidRPr="00AC05BA" w:rsidRDefault="00AC05BA">
      <w:pPr>
        <w:numPr>
          <w:ilvl w:val="0"/>
          <w:numId w:val="7"/>
        </w:numPr>
        <w:spacing w:after="0" w:line="240" w:lineRule="auto"/>
      </w:pPr>
      <w:r w:rsidRPr="00AC05BA">
        <w:t>réserves</w:t>
      </w:r>
      <w:r>
        <w:t> ;</w:t>
      </w:r>
    </w:p>
    <w:p w14:paraId="6BCCBAF5" w14:textId="21151BD0" w:rsidR="00AC05BA" w:rsidRPr="00AC05BA" w:rsidRDefault="00AC05BA">
      <w:pPr>
        <w:numPr>
          <w:ilvl w:val="0"/>
          <w:numId w:val="7"/>
        </w:numPr>
        <w:spacing w:after="0" w:line="240" w:lineRule="auto"/>
      </w:pPr>
      <w:r w:rsidRPr="00AC05BA">
        <w:t>bénéfices</w:t>
      </w:r>
      <w:r>
        <w:t> ;</w:t>
      </w:r>
    </w:p>
    <w:p w14:paraId="282D40E4" w14:textId="77777777" w:rsidR="00AC05BA" w:rsidRPr="00AC05BA" w:rsidRDefault="00AC05BA">
      <w:pPr>
        <w:numPr>
          <w:ilvl w:val="0"/>
          <w:numId w:val="7"/>
        </w:numPr>
        <w:spacing w:after="0" w:line="240" w:lineRule="auto"/>
      </w:pPr>
      <w:r w:rsidRPr="00AC05BA">
        <w:t>primes d’émission.</w:t>
      </w:r>
    </w:p>
    <w:p w14:paraId="6B1F3647" w14:textId="1B56ACDE" w:rsidR="00AC05BA" w:rsidRPr="00AC05BA" w:rsidRDefault="00AC05BA" w:rsidP="00AC05BA">
      <w:pPr>
        <w:spacing w:after="0" w:line="240" w:lineRule="auto"/>
      </w:pPr>
      <w:r w:rsidRPr="00AC05BA">
        <w:t>L’opération peut se traduire par</w:t>
      </w:r>
      <w:r>
        <w:t> :</w:t>
      </w:r>
    </w:p>
    <w:p w14:paraId="27723EA0" w14:textId="30C4A55E" w:rsidR="00AC05BA" w:rsidRPr="00AC05BA" w:rsidRDefault="00AC05BA">
      <w:pPr>
        <w:numPr>
          <w:ilvl w:val="0"/>
          <w:numId w:val="8"/>
        </w:numPr>
        <w:spacing w:after="0" w:line="240" w:lineRule="auto"/>
      </w:pPr>
      <w:r w:rsidRPr="00AC05BA">
        <w:t>l’augmentation de la valeur nominale des titres existants</w:t>
      </w:r>
      <w:r>
        <w:t> ;</w:t>
      </w:r>
    </w:p>
    <w:p w14:paraId="64D94B47" w14:textId="77777777" w:rsidR="00AC05BA" w:rsidRPr="00AC05BA" w:rsidRDefault="00AC05BA">
      <w:pPr>
        <w:numPr>
          <w:ilvl w:val="0"/>
          <w:numId w:val="8"/>
        </w:numPr>
        <w:spacing w:after="0" w:line="240" w:lineRule="auto"/>
      </w:pPr>
      <w:r w:rsidRPr="00AC05BA">
        <w:t>l’attribution gratuite de nouveaux titres.</w:t>
      </w:r>
    </w:p>
    <w:p w14:paraId="7F29C3BF" w14:textId="77777777" w:rsidR="00AC05BA" w:rsidRPr="00AC05BA" w:rsidRDefault="00AC05BA" w:rsidP="00AC05BA">
      <w:pPr>
        <w:spacing w:after="0" w:line="240" w:lineRule="auto"/>
      </w:pPr>
      <w:r w:rsidRPr="00AC05BA">
        <w:t>Dans une SA, l’augmentation par incorporation de réserves, bénéfices ou primes est décidée selon les conditions de quorum et de majorité de l’assemblée générale ordinaire, par dérogation au régime ordinaire des modifications statutaires. (</w:t>
      </w:r>
      <w:hyperlink r:id="rId15" w:tooltip="Code de commerce - Article L225-130" w:history="1">
        <w:r w:rsidRPr="00AC05BA">
          <w:rPr>
            <w:rStyle w:val="Lienhypertexte"/>
          </w:rPr>
          <w:t>Légifrance</w:t>
        </w:r>
      </w:hyperlink>
      <w:r w:rsidRPr="00AC05BA">
        <w:t>)</w:t>
      </w:r>
    </w:p>
    <w:p w14:paraId="0047783E" w14:textId="77777777" w:rsidR="00AC05BA" w:rsidRPr="00AC05BA" w:rsidRDefault="00AC05BA" w:rsidP="00AC05BA">
      <w:pPr>
        <w:spacing w:after="0" w:line="240" w:lineRule="auto"/>
        <w:rPr>
          <w:b/>
          <w:bCs/>
        </w:rPr>
      </w:pPr>
      <w:r w:rsidRPr="00AC05BA">
        <w:rPr>
          <w:b/>
          <w:bCs/>
        </w:rPr>
        <w:t>Exemple</w:t>
      </w:r>
    </w:p>
    <w:p w14:paraId="50DC8DC2" w14:textId="18835FEF" w:rsidR="00AC05BA" w:rsidRPr="00AC05BA" w:rsidRDefault="00AC05BA" w:rsidP="00AC05BA">
      <w:pPr>
        <w:spacing w:after="0" w:line="240" w:lineRule="auto"/>
      </w:pPr>
      <w:r w:rsidRPr="00AC05BA">
        <w:t>Avant</w:t>
      </w:r>
      <w:r>
        <w:t> :</w:t>
      </w:r>
    </w:p>
    <w:p w14:paraId="38371DE6" w14:textId="183F71E0" w:rsidR="00AC05BA" w:rsidRPr="00AC05BA" w:rsidRDefault="00AC05BA">
      <w:pPr>
        <w:numPr>
          <w:ilvl w:val="0"/>
          <w:numId w:val="9"/>
        </w:numPr>
        <w:spacing w:after="0" w:line="240" w:lineRule="auto"/>
      </w:pPr>
      <w:r w:rsidRPr="00AC05BA">
        <w:t>capital</w:t>
      </w:r>
      <w:r>
        <w:t> :</w:t>
      </w:r>
      <w:r w:rsidRPr="00AC05BA">
        <w:t xml:space="preserve"> 100 000</w:t>
      </w:r>
      <w:r>
        <w:t> € ;</w:t>
      </w:r>
    </w:p>
    <w:p w14:paraId="3582E14A" w14:textId="0C10FEAD" w:rsidR="00AC05BA" w:rsidRPr="00AC05BA" w:rsidRDefault="00AC05BA">
      <w:pPr>
        <w:numPr>
          <w:ilvl w:val="0"/>
          <w:numId w:val="9"/>
        </w:numPr>
        <w:spacing w:after="0" w:line="240" w:lineRule="auto"/>
      </w:pPr>
      <w:r w:rsidRPr="00AC05BA">
        <w:t>réserves</w:t>
      </w:r>
      <w:r>
        <w:t> :</w:t>
      </w:r>
      <w:r w:rsidRPr="00AC05BA">
        <w:t xml:space="preserve"> 80 000</w:t>
      </w:r>
      <w:r>
        <w:t> €</w:t>
      </w:r>
      <w:r w:rsidRPr="00AC05BA">
        <w:t>.</w:t>
      </w:r>
    </w:p>
    <w:p w14:paraId="79099A76" w14:textId="3B5FC895" w:rsidR="00AC05BA" w:rsidRPr="00AC05BA" w:rsidRDefault="00AC05BA" w:rsidP="00AC05BA">
      <w:pPr>
        <w:spacing w:after="0" w:line="240" w:lineRule="auto"/>
      </w:pPr>
      <w:r w:rsidRPr="00AC05BA">
        <w:t>Incorporation de 30 000</w:t>
      </w:r>
      <w:r>
        <w:t> € :</w:t>
      </w:r>
    </w:p>
    <w:p w14:paraId="0077A51F" w14:textId="3C5B3594" w:rsidR="00AC05BA" w:rsidRPr="00AC05BA" w:rsidRDefault="00AC05BA">
      <w:pPr>
        <w:numPr>
          <w:ilvl w:val="0"/>
          <w:numId w:val="10"/>
        </w:numPr>
        <w:spacing w:after="0" w:line="240" w:lineRule="auto"/>
      </w:pPr>
      <w:r w:rsidRPr="00AC05BA">
        <w:t>capital</w:t>
      </w:r>
      <w:r>
        <w:t> :</w:t>
      </w:r>
      <w:r w:rsidRPr="00AC05BA">
        <w:t xml:space="preserve"> 130 000</w:t>
      </w:r>
      <w:r>
        <w:t> € ;</w:t>
      </w:r>
    </w:p>
    <w:p w14:paraId="09063A4E" w14:textId="701DC309" w:rsidR="00AC05BA" w:rsidRPr="00AC05BA" w:rsidRDefault="00AC05BA">
      <w:pPr>
        <w:numPr>
          <w:ilvl w:val="0"/>
          <w:numId w:val="10"/>
        </w:numPr>
        <w:spacing w:after="0" w:line="240" w:lineRule="auto"/>
      </w:pPr>
      <w:r w:rsidRPr="00AC05BA">
        <w:t>réserves</w:t>
      </w:r>
      <w:r>
        <w:t> :</w:t>
      </w:r>
      <w:r w:rsidRPr="00AC05BA">
        <w:t xml:space="preserve"> 50 000</w:t>
      </w:r>
      <w:r>
        <w:t> €</w:t>
      </w:r>
      <w:r w:rsidRPr="00AC05BA">
        <w:t>.</w:t>
      </w:r>
    </w:p>
    <w:p w14:paraId="4EF783F9" w14:textId="10A8F0A6" w:rsidR="00AC05BA" w:rsidRPr="00AC05BA" w:rsidRDefault="00AC05BA" w:rsidP="00AC05BA">
      <w:pPr>
        <w:spacing w:after="0" w:line="240" w:lineRule="auto"/>
      </w:pPr>
      <w:r w:rsidRPr="00AC05BA">
        <w:t>Total des capitaux propres</w:t>
      </w:r>
      <w:r>
        <w:t> :</w:t>
      </w:r>
      <w:r w:rsidRPr="00AC05BA">
        <w:t xml:space="preserve"> </w:t>
      </w:r>
      <w:r w:rsidRPr="00AC05BA">
        <w:rPr>
          <w:b/>
          <w:bCs/>
        </w:rPr>
        <w:t>inchangé</w:t>
      </w:r>
      <w:r w:rsidRPr="00AC05BA">
        <w:t>.</w:t>
      </w:r>
    </w:p>
    <w:p w14:paraId="088ED14C" w14:textId="77777777" w:rsidR="00AC05BA" w:rsidRPr="00AC05BA" w:rsidRDefault="00AC05BA" w:rsidP="00AC05BA">
      <w:pPr>
        <w:spacing w:after="0" w:line="240" w:lineRule="auto"/>
        <w:rPr>
          <w:b/>
          <w:bCs/>
        </w:rPr>
      </w:pPr>
      <w:r w:rsidRPr="00AC05BA">
        <w:rPr>
          <w:b/>
          <w:bCs/>
        </w:rPr>
        <w:t>Point essentiel</w:t>
      </w:r>
    </w:p>
    <w:p w14:paraId="6A0006B5" w14:textId="77777777" w:rsidR="00AC05BA" w:rsidRPr="00AC05BA" w:rsidRDefault="00AC05BA" w:rsidP="00AC05BA">
      <w:pPr>
        <w:spacing w:after="0" w:line="240" w:lineRule="auto"/>
      </w:pPr>
      <w:r w:rsidRPr="00AC05BA">
        <w:rPr>
          <w:b/>
          <w:bCs/>
        </w:rPr>
        <w:t>Une incorporation de réserves augmente le capital mais n’augmente pas la trésorerie.</w:t>
      </w:r>
    </w:p>
    <w:p w14:paraId="1E0E2D24" w14:textId="77777777" w:rsidR="00AC05BA" w:rsidRPr="00AC05BA" w:rsidRDefault="00AC05BA" w:rsidP="00AC05BA">
      <w:pPr>
        <w:pStyle w:val="Titre1"/>
      </w:pPr>
      <w:r w:rsidRPr="00AC05BA">
        <w:t>9. Le droit d’attribution protège la répartition des droits lors d’une incorporation</w:t>
      </w:r>
    </w:p>
    <w:p w14:paraId="20E67A53" w14:textId="77777777" w:rsidR="00AC05BA" w:rsidRPr="00AC05BA" w:rsidRDefault="00AC05BA" w:rsidP="00AC05BA">
      <w:pPr>
        <w:spacing w:after="0" w:line="240" w:lineRule="auto"/>
      </w:pPr>
      <w:r w:rsidRPr="00AC05BA">
        <w:t>Lorsque l’incorporation de réserves se traduit par l’émission gratuite de nouveaux titres, ceux-ci sont attribués aux associés ou actionnaires en fonction de leurs droits existants.</w:t>
      </w:r>
    </w:p>
    <w:p w14:paraId="44EF7720" w14:textId="77777777" w:rsidR="00AC05BA" w:rsidRPr="00AC05BA" w:rsidRDefault="00AC05BA" w:rsidP="00AC05BA">
      <w:pPr>
        <w:spacing w:after="0" w:line="240" w:lineRule="auto"/>
      </w:pPr>
      <w:r w:rsidRPr="00AC05BA">
        <w:t xml:space="preserve">Le </w:t>
      </w:r>
      <w:r w:rsidRPr="00AC05BA">
        <w:rPr>
          <w:b/>
          <w:bCs/>
        </w:rPr>
        <w:t>droit d’attribution</w:t>
      </w:r>
      <w:r w:rsidRPr="00AC05BA">
        <w:t xml:space="preserve"> représente le droit attaché aux anciens titres de recevoir les titres nouveaux.</w:t>
      </w:r>
    </w:p>
    <w:p w14:paraId="31B9F093" w14:textId="77777777" w:rsidR="00AC05BA" w:rsidRPr="00AC05BA" w:rsidRDefault="00AC05BA" w:rsidP="00AC05BA">
      <w:pPr>
        <w:spacing w:after="0" w:line="240" w:lineRule="auto"/>
        <w:rPr>
          <w:b/>
          <w:bCs/>
        </w:rPr>
      </w:pPr>
      <w:r w:rsidRPr="00AC05BA">
        <w:rPr>
          <w:b/>
          <w:bCs/>
        </w:rPr>
        <w:t>Exemple</w:t>
      </w:r>
    </w:p>
    <w:p w14:paraId="454F0B19" w14:textId="77777777" w:rsidR="00AC05BA" w:rsidRPr="00AC05BA" w:rsidRDefault="00AC05BA" w:rsidP="00AC05BA">
      <w:pPr>
        <w:spacing w:after="0" w:line="240" w:lineRule="auto"/>
      </w:pPr>
      <w:r w:rsidRPr="00AC05BA">
        <w:lastRenderedPageBreak/>
        <w:t>Une société attribue une action nouvelle pour cinq actions anciennes.</w:t>
      </w:r>
    </w:p>
    <w:p w14:paraId="046993CE" w14:textId="6BCAA68E" w:rsidR="00AC05BA" w:rsidRPr="00AC05BA" w:rsidRDefault="00AC05BA" w:rsidP="00AC05BA">
      <w:pPr>
        <w:spacing w:after="0" w:line="240" w:lineRule="auto"/>
      </w:pPr>
      <w:r w:rsidRPr="00AC05BA">
        <w:t>Un actionnaire possédant 100 actions reçoit</w:t>
      </w:r>
      <w:r>
        <w:t> :</w:t>
      </w:r>
    </w:p>
    <w:p w14:paraId="6157F184" w14:textId="77777777" w:rsidR="00AC05BA" w:rsidRPr="00AC05BA" w:rsidRDefault="00AC05BA" w:rsidP="00AC05BA">
      <w:pPr>
        <w:spacing w:after="0" w:line="240" w:lineRule="auto"/>
      </w:pPr>
      <w:r w:rsidRPr="00AC05BA">
        <w:rPr>
          <w:b/>
          <w:bCs/>
        </w:rPr>
        <w:t>100 / 5 = 20 actions nouvelles</w:t>
      </w:r>
    </w:p>
    <w:p w14:paraId="05D95130" w14:textId="2466287B" w:rsidR="00AC05BA" w:rsidRPr="00AC05BA" w:rsidRDefault="00AC05BA" w:rsidP="00AC05BA">
      <w:pPr>
        <w:spacing w:after="0" w:line="240" w:lineRule="auto"/>
      </w:pPr>
      <w:r w:rsidRPr="00AC05BA">
        <w:t>Il ne verse aucune somme supplémentaire</w:t>
      </w:r>
      <w:r>
        <w:t> :</w:t>
      </w:r>
      <w:r w:rsidRPr="00AC05BA">
        <w:t xml:space="preserve"> l’opération est financée par des ressources déjà présentes dans les capitaux propres. (</w:t>
      </w:r>
      <w:hyperlink r:id="rId16" w:tooltip="Code de commerce - Article L225-130" w:history="1">
        <w:r w:rsidRPr="00AC05BA">
          <w:rPr>
            <w:rStyle w:val="Lienhypertexte"/>
          </w:rPr>
          <w:t>Légifrance</w:t>
        </w:r>
      </w:hyperlink>
      <w:r w:rsidRPr="00AC05BA">
        <w:t>)</w:t>
      </w:r>
    </w:p>
    <w:p w14:paraId="7D0C580E" w14:textId="77777777" w:rsidR="00AC05BA" w:rsidRPr="00AC05BA" w:rsidRDefault="00AC05BA" w:rsidP="00AC05BA">
      <w:pPr>
        <w:pStyle w:val="Titre1"/>
      </w:pPr>
      <w:r w:rsidRPr="00AC05BA">
        <w:t>10. La compensation de créance transforme une dette en capital</w:t>
      </w:r>
    </w:p>
    <w:p w14:paraId="5D9B0513" w14:textId="77777777" w:rsidR="00AC05BA" w:rsidRPr="00AC05BA" w:rsidRDefault="00AC05BA" w:rsidP="00AC05BA">
      <w:pPr>
        <w:spacing w:after="0" w:line="240" w:lineRule="auto"/>
      </w:pPr>
      <w:r w:rsidRPr="00AC05BA">
        <w:t xml:space="preserve">Une augmentation de capital peut être libérée par compensation avec une créance </w:t>
      </w:r>
      <w:r w:rsidRPr="00AC05BA">
        <w:rPr>
          <w:b/>
          <w:bCs/>
        </w:rPr>
        <w:t>liquide et exigible</w:t>
      </w:r>
      <w:r w:rsidRPr="00AC05BA">
        <w:t xml:space="preserve"> détenue contre la société. (</w:t>
      </w:r>
      <w:hyperlink r:id="rId17" w:tooltip="Des sociétés anonymes. (Articles L225-1 à L225-270) - Légifrance" w:history="1">
        <w:r w:rsidRPr="00AC05BA">
          <w:rPr>
            <w:rStyle w:val="Lienhypertexte"/>
          </w:rPr>
          <w:t>Légifrance</w:t>
        </w:r>
      </w:hyperlink>
      <w:r w:rsidRPr="00AC05BA">
        <w:t>)</w:t>
      </w:r>
    </w:p>
    <w:p w14:paraId="1F1E8AA3" w14:textId="77777777" w:rsidR="00AC05BA" w:rsidRPr="00AC05BA" w:rsidRDefault="00AC05BA" w:rsidP="00AC05BA">
      <w:pPr>
        <w:spacing w:after="0" w:line="240" w:lineRule="auto"/>
      </w:pPr>
      <w:r w:rsidRPr="00AC05BA">
        <w:t xml:space="preserve">Le mécanisme est fréquent avec un </w:t>
      </w:r>
      <w:r w:rsidRPr="00AC05BA">
        <w:rPr>
          <w:b/>
          <w:bCs/>
        </w:rPr>
        <w:t>compte courant d’associé</w:t>
      </w:r>
      <w:r w:rsidRPr="00AC05BA">
        <w:t>.</w:t>
      </w:r>
    </w:p>
    <w:p w14:paraId="71B955CB" w14:textId="77777777" w:rsidR="00AC05BA" w:rsidRPr="00AC05BA" w:rsidRDefault="00AC05BA" w:rsidP="00AC05BA">
      <w:pPr>
        <w:spacing w:after="0" w:line="240" w:lineRule="auto"/>
        <w:rPr>
          <w:b/>
          <w:bCs/>
        </w:rPr>
      </w:pPr>
      <w:r w:rsidRPr="00AC05BA">
        <w:rPr>
          <w:b/>
          <w:bCs/>
        </w:rPr>
        <w:t>Avant l’opération</w:t>
      </w:r>
    </w:p>
    <w:p w14:paraId="6E1D50FE" w14:textId="6FCC2ECB" w:rsidR="00AC05BA" w:rsidRPr="00AC05BA" w:rsidRDefault="00AC05BA" w:rsidP="00AC05BA">
      <w:pPr>
        <w:spacing w:after="0" w:line="240" w:lineRule="auto"/>
      </w:pPr>
      <w:r w:rsidRPr="00AC05BA">
        <w:t>L’associé</w:t>
      </w:r>
      <w:r>
        <w:t> :</w:t>
      </w:r>
    </w:p>
    <w:p w14:paraId="75B9110A" w14:textId="5AE2B7E9" w:rsidR="00AC05BA" w:rsidRPr="00AC05BA" w:rsidRDefault="00AC05BA">
      <w:pPr>
        <w:numPr>
          <w:ilvl w:val="0"/>
          <w:numId w:val="11"/>
        </w:numPr>
        <w:spacing w:after="0" w:line="240" w:lineRule="auto"/>
      </w:pPr>
      <w:r w:rsidRPr="00AC05BA">
        <w:t>est créancier de la société</w:t>
      </w:r>
      <w:r>
        <w:t> ;</w:t>
      </w:r>
    </w:p>
    <w:p w14:paraId="57CF94B5" w14:textId="77777777" w:rsidR="00AC05BA" w:rsidRPr="00AC05BA" w:rsidRDefault="00AC05BA">
      <w:pPr>
        <w:numPr>
          <w:ilvl w:val="0"/>
          <w:numId w:val="11"/>
        </w:numPr>
        <w:spacing w:after="0" w:line="240" w:lineRule="auto"/>
      </w:pPr>
      <w:r w:rsidRPr="00AC05BA">
        <w:t>peut prétendre au remboursement selon le régime du compte courant.</w:t>
      </w:r>
    </w:p>
    <w:p w14:paraId="5188C922" w14:textId="77777777" w:rsidR="00AC05BA" w:rsidRPr="00AC05BA" w:rsidRDefault="00AC05BA" w:rsidP="00AC05BA">
      <w:pPr>
        <w:spacing w:after="0" w:line="240" w:lineRule="auto"/>
        <w:rPr>
          <w:b/>
          <w:bCs/>
        </w:rPr>
      </w:pPr>
      <w:r w:rsidRPr="00AC05BA">
        <w:rPr>
          <w:b/>
          <w:bCs/>
        </w:rPr>
        <w:t>Après conversion</w:t>
      </w:r>
    </w:p>
    <w:p w14:paraId="0798EDFA" w14:textId="3F0EA7D7" w:rsidR="00AC05BA" w:rsidRPr="00AC05BA" w:rsidRDefault="00AC05BA" w:rsidP="00AC05BA">
      <w:pPr>
        <w:spacing w:after="0" w:line="240" w:lineRule="auto"/>
      </w:pPr>
      <w:r w:rsidRPr="00AC05BA">
        <w:t>La créance disparaît et l’intéressé reçoit des titres</w:t>
      </w:r>
      <w:r>
        <w:t> :</w:t>
      </w:r>
    </w:p>
    <w:p w14:paraId="10EE5462" w14:textId="5BEA2479" w:rsidR="00AC05BA" w:rsidRPr="00AC05BA" w:rsidRDefault="00AC05BA">
      <w:pPr>
        <w:numPr>
          <w:ilvl w:val="0"/>
          <w:numId w:val="12"/>
        </w:numPr>
        <w:spacing w:after="0" w:line="240" w:lineRule="auto"/>
      </w:pPr>
      <w:r w:rsidRPr="00AC05BA">
        <w:t>la dette diminue</w:t>
      </w:r>
      <w:r>
        <w:t> ;</w:t>
      </w:r>
    </w:p>
    <w:p w14:paraId="2227EECC" w14:textId="7263936A" w:rsidR="00AC05BA" w:rsidRPr="00AC05BA" w:rsidRDefault="00AC05BA">
      <w:pPr>
        <w:numPr>
          <w:ilvl w:val="0"/>
          <w:numId w:val="12"/>
        </w:numPr>
        <w:spacing w:after="0" w:line="240" w:lineRule="auto"/>
      </w:pPr>
      <w:r w:rsidRPr="00AC05BA">
        <w:t>les capitaux propres augmentent</w:t>
      </w:r>
      <w:r>
        <w:t> ;</w:t>
      </w:r>
    </w:p>
    <w:p w14:paraId="7100CE9D" w14:textId="77777777" w:rsidR="00AC05BA" w:rsidRPr="00AC05BA" w:rsidRDefault="00AC05BA">
      <w:pPr>
        <w:numPr>
          <w:ilvl w:val="0"/>
          <w:numId w:val="12"/>
        </w:numPr>
        <w:spacing w:after="0" w:line="240" w:lineRule="auto"/>
      </w:pPr>
      <w:r w:rsidRPr="00AC05BA">
        <w:t>aucune nouvelle trésorerie n’entre dans la société.</w:t>
      </w:r>
    </w:p>
    <w:p w14:paraId="47035A51" w14:textId="77777777" w:rsidR="00AC05BA" w:rsidRPr="00AC05BA" w:rsidRDefault="00AC05BA" w:rsidP="00AC05BA">
      <w:pPr>
        <w:spacing w:after="0" w:line="240" w:lineRule="auto"/>
      </w:pPr>
      <w:r w:rsidRPr="00AC05BA">
        <w:t>Pour les sociétés par actions, la libération par compensation doit être constatée par un certificat du notaire, du commissaire aux comptes ou d’un commissaire aux comptes spécialement désigné lorsqu’il n’en existe pas. (</w:t>
      </w:r>
      <w:hyperlink r:id="rId18" w:tooltip="Code de commerce - Article L225-146 - Légifrance" w:history="1">
        <w:r w:rsidRPr="00AC05BA">
          <w:rPr>
            <w:rStyle w:val="Lienhypertexte"/>
          </w:rPr>
          <w:t>Légifrance</w:t>
        </w:r>
      </w:hyperlink>
      <w:r w:rsidRPr="00AC05BA">
        <w:t>)</w:t>
      </w:r>
    </w:p>
    <w:p w14:paraId="66ACA3E0" w14:textId="77777777" w:rsidR="00AC05BA" w:rsidRPr="00AC05BA" w:rsidRDefault="00AC05BA" w:rsidP="00AC05BA">
      <w:pPr>
        <w:pStyle w:val="Titre1"/>
      </w:pPr>
      <w:r w:rsidRPr="00AC05BA">
        <w:t>11. Le droit préférentiel de souscription protège les actionnaires contre la dilution</w:t>
      </w:r>
    </w:p>
    <w:p w14:paraId="0817A909" w14:textId="77777777" w:rsidR="00AC05BA" w:rsidRPr="00AC05BA" w:rsidRDefault="00AC05BA" w:rsidP="00AC05BA">
      <w:pPr>
        <w:spacing w:after="0" w:line="240" w:lineRule="auto"/>
      </w:pPr>
      <w:r w:rsidRPr="00AC05BA">
        <w:t xml:space="preserve">Dans les sociétés par actions, chaque action comporte en principe un </w:t>
      </w:r>
      <w:r w:rsidRPr="00AC05BA">
        <w:rPr>
          <w:b/>
          <w:bCs/>
        </w:rPr>
        <w:t>droit préférentiel de souscription (DPS)</w:t>
      </w:r>
      <w:r w:rsidRPr="00AC05BA">
        <w:t xml:space="preserve"> aux augmentations de capital en numéraire.</w:t>
      </w:r>
    </w:p>
    <w:p w14:paraId="0EBC7DE3" w14:textId="77777777" w:rsidR="00AC05BA" w:rsidRPr="00AC05BA" w:rsidRDefault="00AC05BA" w:rsidP="00AC05BA">
      <w:pPr>
        <w:spacing w:after="0" w:line="240" w:lineRule="auto"/>
      </w:pPr>
      <w:r w:rsidRPr="00AC05BA">
        <w:t>L’actionnaire bénéficie d’un droit prioritaire de souscrire les actions nouvelles proportionnellement au nombre d’actions qu’il détient. (</w:t>
      </w:r>
      <w:hyperlink r:id="rId19" w:tooltip="Code de commerce - Article L225-132" w:history="1">
        <w:r w:rsidRPr="00AC05BA">
          <w:rPr>
            <w:rStyle w:val="Lienhypertexte"/>
          </w:rPr>
          <w:t>Légifrance</w:t>
        </w:r>
      </w:hyperlink>
      <w:r w:rsidRPr="00AC05BA">
        <w:t>)</w:t>
      </w:r>
    </w:p>
    <w:p w14:paraId="7036291B" w14:textId="77777777" w:rsidR="00AC05BA" w:rsidRPr="00AC05BA" w:rsidRDefault="00AC05BA" w:rsidP="00AC05BA">
      <w:pPr>
        <w:spacing w:after="0" w:line="240" w:lineRule="auto"/>
        <w:rPr>
          <w:b/>
          <w:bCs/>
        </w:rPr>
      </w:pPr>
      <w:r w:rsidRPr="00AC05BA">
        <w:rPr>
          <w:b/>
          <w:bCs/>
        </w:rPr>
        <w:t>Exemple</w:t>
      </w:r>
    </w:p>
    <w:p w14:paraId="68D3E120" w14:textId="1835BDD7" w:rsidR="00AC05BA" w:rsidRPr="00AC05BA" w:rsidRDefault="00AC05BA" w:rsidP="00AC05BA">
      <w:pPr>
        <w:spacing w:after="0" w:line="240" w:lineRule="auto"/>
      </w:pPr>
      <w:r w:rsidRPr="00AC05BA">
        <w:t>Capital</w:t>
      </w:r>
      <w:r>
        <w:t> :</w:t>
      </w:r>
    </w:p>
    <w:p w14:paraId="23706D41" w14:textId="40070FEF" w:rsidR="00AC05BA" w:rsidRPr="00AC05BA" w:rsidRDefault="00AC05BA">
      <w:pPr>
        <w:numPr>
          <w:ilvl w:val="0"/>
          <w:numId w:val="13"/>
        </w:numPr>
        <w:spacing w:after="0" w:line="240" w:lineRule="auto"/>
      </w:pPr>
      <w:r w:rsidRPr="00AC05BA">
        <w:t>1 000 actions anciennes</w:t>
      </w:r>
      <w:r>
        <w:t> ;</w:t>
      </w:r>
    </w:p>
    <w:p w14:paraId="2B1C2E48" w14:textId="56561235" w:rsidR="00AC05BA" w:rsidRPr="00AC05BA" w:rsidRDefault="00AC05BA">
      <w:pPr>
        <w:numPr>
          <w:ilvl w:val="0"/>
          <w:numId w:val="13"/>
        </w:numPr>
        <w:spacing w:after="0" w:line="240" w:lineRule="auto"/>
      </w:pPr>
      <w:r w:rsidRPr="00AC05BA">
        <w:t>augmentation</w:t>
      </w:r>
      <w:r>
        <w:t> :</w:t>
      </w:r>
      <w:r w:rsidRPr="00AC05BA">
        <w:t xml:space="preserve"> 200 actions nouvelles.</w:t>
      </w:r>
    </w:p>
    <w:p w14:paraId="7328478F" w14:textId="43C553EB" w:rsidR="00AC05BA" w:rsidRPr="00AC05BA" w:rsidRDefault="00AC05BA" w:rsidP="00AC05BA">
      <w:pPr>
        <w:spacing w:after="0" w:line="240" w:lineRule="auto"/>
      </w:pPr>
      <w:r w:rsidRPr="00AC05BA">
        <w:t>A possède 100 actions, soit 10</w:t>
      </w:r>
      <w:r>
        <w:t> %</w:t>
      </w:r>
      <w:r w:rsidRPr="00AC05BA">
        <w:t xml:space="preserve"> du capital.</w:t>
      </w:r>
    </w:p>
    <w:p w14:paraId="6B4E3D1F" w14:textId="4A732D55" w:rsidR="00AC05BA" w:rsidRPr="00AC05BA" w:rsidRDefault="00AC05BA" w:rsidP="00AC05BA">
      <w:pPr>
        <w:spacing w:after="0" w:line="240" w:lineRule="auto"/>
      </w:pPr>
      <w:r w:rsidRPr="00AC05BA">
        <w:t>Son DPS lui permet normalement de souscrire</w:t>
      </w:r>
      <w:r>
        <w:t> :</w:t>
      </w:r>
    </w:p>
    <w:p w14:paraId="338BB7FD" w14:textId="6F23C2D7" w:rsidR="00AC05BA" w:rsidRPr="00AC05BA" w:rsidRDefault="00AC05BA" w:rsidP="00AC05BA">
      <w:pPr>
        <w:spacing w:after="0" w:line="240" w:lineRule="auto"/>
      </w:pPr>
      <w:r w:rsidRPr="00AC05BA">
        <w:rPr>
          <w:b/>
          <w:bCs/>
        </w:rPr>
        <w:t>200 × 10</w:t>
      </w:r>
      <w:r>
        <w:rPr>
          <w:b/>
          <w:bCs/>
        </w:rPr>
        <w:t> %</w:t>
      </w:r>
      <w:r w:rsidRPr="00AC05BA">
        <w:rPr>
          <w:b/>
          <w:bCs/>
        </w:rPr>
        <w:t xml:space="preserve"> = 20 actions nouvelles</w:t>
      </w:r>
    </w:p>
    <w:p w14:paraId="121E23C7" w14:textId="13FBC24D" w:rsidR="00AC05BA" w:rsidRPr="00AC05BA" w:rsidRDefault="00AC05BA" w:rsidP="00AC05BA">
      <w:pPr>
        <w:spacing w:after="0" w:line="240" w:lineRule="auto"/>
      </w:pPr>
      <w:r w:rsidRPr="00AC05BA">
        <w:t>S’il exerce ce droit, il peut conserver sa participation de 10</w:t>
      </w:r>
      <w:r>
        <w:t> %</w:t>
      </w:r>
      <w:r w:rsidRPr="00AC05BA">
        <w:t>.</w:t>
      </w:r>
    </w:p>
    <w:p w14:paraId="294F4BFB" w14:textId="77777777" w:rsidR="00AC05BA" w:rsidRPr="00AC05BA" w:rsidRDefault="00AC05BA" w:rsidP="00AC05BA">
      <w:pPr>
        <w:pStyle w:val="Titre1"/>
      </w:pPr>
      <w:r w:rsidRPr="00AC05BA">
        <w:t>12. La dilution peut porter sur le capital, le pouvoir et la valeur</w:t>
      </w:r>
    </w:p>
    <w:p w14:paraId="6222A8FC" w14:textId="77777777" w:rsidR="00AC05BA" w:rsidRPr="00AC05BA" w:rsidRDefault="00AC05BA" w:rsidP="00AC05BA">
      <w:pPr>
        <w:spacing w:after="0" w:line="240" w:lineRule="auto"/>
      </w:pPr>
      <w:r w:rsidRPr="00AC05BA">
        <w:lastRenderedPageBreak/>
        <w:t>Lorsqu’un actionnaire ne souscrit pas à une augmentation de capital ouverte à de nouveaux investisseurs, sa participation relative diminue.</w:t>
      </w:r>
    </w:p>
    <w:p w14:paraId="66B9AC5A" w14:textId="77777777" w:rsidR="00AC05BA" w:rsidRPr="00AC05BA" w:rsidRDefault="00AC05BA" w:rsidP="00AC05BA">
      <w:pPr>
        <w:spacing w:after="0" w:line="240" w:lineRule="auto"/>
        <w:rPr>
          <w:b/>
          <w:bCs/>
        </w:rPr>
      </w:pPr>
      <w:r w:rsidRPr="00AC05BA">
        <w:rPr>
          <w:b/>
          <w:bCs/>
        </w:rPr>
        <w:t>Exemple</w:t>
      </w:r>
    </w:p>
    <w:p w14:paraId="7C15EC9B" w14:textId="4D11F207" w:rsidR="00AC05BA" w:rsidRPr="00AC05BA" w:rsidRDefault="00AC05BA" w:rsidP="00AC05BA">
      <w:pPr>
        <w:spacing w:after="0" w:line="240" w:lineRule="auto"/>
      </w:pPr>
      <w:r w:rsidRPr="00AC05BA">
        <w:t>Avant</w:t>
      </w:r>
      <w:r>
        <w:t> :</w:t>
      </w:r>
    </w:p>
    <w:p w14:paraId="7022F66F" w14:textId="5863EE02" w:rsidR="00AC05BA" w:rsidRPr="00AC05BA" w:rsidRDefault="00AC05BA" w:rsidP="00AC05BA">
      <w:pPr>
        <w:spacing w:after="0" w:line="240" w:lineRule="auto"/>
      </w:pPr>
      <w:r w:rsidRPr="00AC05BA">
        <w:t xml:space="preserve">A possède 40 actions sur 100 = </w:t>
      </w:r>
      <w:r w:rsidRPr="00AC05BA">
        <w:rPr>
          <w:b/>
          <w:bCs/>
        </w:rPr>
        <w:t>40</w:t>
      </w:r>
      <w:r>
        <w:rPr>
          <w:b/>
          <w:bCs/>
        </w:rPr>
        <w:t> %</w:t>
      </w:r>
      <w:r w:rsidRPr="00AC05BA">
        <w:t>.</w:t>
      </w:r>
    </w:p>
    <w:p w14:paraId="0854F18B" w14:textId="77777777" w:rsidR="00AC05BA" w:rsidRPr="00AC05BA" w:rsidRDefault="00AC05BA" w:rsidP="00AC05BA">
      <w:pPr>
        <w:spacing w:after="0" w:line="240" w:lineRule="auto"/>
      </w:pPr>
      <w:r w:rsidRPr="00AC05BA">
        <w:t>La société émet 100 nouvelles actions auxquelles A ne souscrit pas.</w:t>
      </w:r>
    </w:p>
    <w:p w14:paraId="3DC326A8" w14:textId="501B70A0" w:rsidR="00AC05BA" w:rsidRPr="00AC05BA" w:rsidRDefault="00AC05BA" w:rsidP="00AC05BA">
      <w:pPr>
        <w:spacing w:after="0" w:line="240" w:lineRule="auto"/>
      </w:pPr>
      <w:r w:rsidRPr="00AC05BA">
        <w:t>Après</w:t>
      </w:r>
      <w:r>
        <w:t> :</w:t>
      </w:r>
    </w:p>
    <w:p w14:paraId="02AEC79D" w14:textId="25373021" w:rsidR="00AC05BA" w:rsidRPr="00AC05BA" w:rsidRDefault="00AC05BA" w:rsidP="00AC05BA">
      <w:pPr>
        <w:spacing w:after="0" w:line="240" w:lineRule="auto"/>
      </w:pPr>
      <w:r w:rsidRPr="00AC05BA">
        <w:t xml:space="preserve">A possède 40 actions sur 200 = </w:t>
      </w:r>
      <w:r w:rsidRPr="00AC05BA">
        <w:rPr>
          <w:b/>
          <w:bCs/>
        </w:rPr>
        <w:t>20</w:t>
      </w:r>
      <w:r>
        <w:rPr>
          <w:b/>
          <w:bCs/>
        </w:rPr>
        <w:t> %</w:t>
      </w:r>
      <w:r w:rsidRPr="00AC05BA">
        <w:t>.</w:t>
      </w:r>
    </w:p>
    <w:p w14:paraId="062C7794" w14:textId="28B76E88" w:rsidR="00AC05BA" w:rsidRPr="00AC05BA" w:rsidRDefault="00AC05BA" w:rsidP="00AC05BA">
      <w:pPr>
        <w:spacing w:after="0" w:line="240" w:lineRule="auto"/>
      </w:pPr>
      <w:r w:rsidRPr="00AC05BA">
        <w:t>La dilution peut affecter</w:t>
      </w:r>
      <w:r>
        <w:t> :</w:t>
      </w:r>
    </w:p>
    <w:p w14:paraId="72F41C51" w14:textId="5E667A31" w:rsidR="00AC05BA" w:rsidRPr="00AC05BA" w:rsidRDefault="00AC05BA">
      <w:pPr>
        <w:numPr>
          <w:ilvl w:val="0"/>
          <w:numId w:val="14"/>
        </w:numPr>
        <w:spacing w:after="0" w:line="240" w:lineRule="auto"/>
      </w:pPr>
      <w:r w:rsidRPr="00AC05BA">
        <w:t>le pourcentage de capital détenu</w:t>
      </w:r>
      <w:r>
        <w:t> ;</w:t>
      </w:r>
    </w:p>
    <w:p w14:paraId="19EF3F10" w14:textId="3F5424B7" w:rsidR="00AC05BA" w:rsidRPr="00AC05BA" w:rsidRDefault="00AC05BA">
      <w:pPr>
        <w:numPr>
          <w:ilvl w:val="0"/>
          <w:numId w:val="14"/>
        </w:numPr>
        <w:spacing w:after="0" w:line="240" w:lineRule="auto"/>
      </w:pPr>
      <w:r w:rsidRPr="00AC05BA">
        <w:t>le poids dans les votes</w:t>
      </w:r>
      <w:r>
        <w:t> ;</w:t>
      </w:r>
    </w:p>
    <w:p w14:paraId="0A5305E2" w14:textId="2386F2B5" w:rsidR="00AC05BA" w:rsidRPr="00AC05BA" w:rsidRDefault="00AC05BA">
      <w:pPr>
        <w:numPr>
          <w:ilvl w:val="0"/>
          <w:numId w:val="14"/>
        </w:numPr>
        <w:spacing w:after="0" w:line="240" w:lineRule="auto"/>
      </w:pPr>
      <w:r w:rsidRPr="00AC05BA">
        <w:t>le contrôle de la société</w:t>
      </w:r>
      <w:r>
        <w:t> ;</w:t>
      </w:r>
    </w:p>
    <w:p w14:paraId="2E156401" w14:textId="77777777" w:rsidR="00AC05BA" w:rsidRPr="00AC05BA" w:rsidRDefault="00AC05BA">
      <w:pPr>
        <w:numPr>
          <w:ilvl w:val="0"/>
          <w:numId w:val="14"/>
        </w:numPr>
        <w:spacing w:after="0" w:line="240" w:lineRule="auto"/>
      </w:pPr>
      <w:r w:rsidRPr="00AC05BA">
        <w:t>la part des bénéfices futurs.</w:t>
      </w:r>
    </w:p>
    <w:p w14:paraId="05AA36FC" w14:textId="77777777" w:rsidR="00AC05BA" w:rsidRPr="00AC05BA" w:rsidRDefault="00AC05BA" w:rsidP="00AC05BA">
      <w:pPr>
        <w:spacing w:after="0" w:line="240" w:lineRule="auto"/>
      </w:pPr>
      <w:r w:rsidRPr="00AC05BA">
        <w:t>Le DPS constitue précisément un mécanisme destiné à protéger les actionnaires contre cette dilution lors des augmentations de capital en numéraire. (</w:t>
      </w:r>
      <w:hyperlink r:id="rId20" w:tooltip="Code de commerce - Article L225-132" w:history="1">
        <w:r w:rsidRPr="00AC05BA">
          <w:rPr>
            <w:rStyle w:val="Lienhypertexte"/>
          </w:rPr>
          <w:t>Légifrance</w:t>
        </w:r>
      </w:hyperlink>
      <w:r w:rsidRPr="00AC05BA">
        <w:t>)</w:t>
      </w:r>
    </w:p>
    <w:p w14:paraId="6E0C12FF" w14:textId="77777777" w:rsidR="00AC05BA" w:rsidRPr="00AC05BA" w:rsidRDefault="00AC05BA" w:rsidP="00AC05BA">
      <w:pPr>
        <w:pStyle w:val="Titre1"/>
      </w:pPr>
      <w:r w:rsidRPr="00AC05BA">
        <w:t>13. Le DPS peut être supprimé</w:t>
      </w:r>
    </w:p>
    <w:p w14:paraId="6041BC57" w14:textId="77777777" w:rsidR="00AC05BA" w:rsidRPr="00AC05BA" w:rsidRDefault="00AC05BA" w:rsidP="00AC05BA">
      <w:pPr>
        <w:spacing w:after="0" w:line="240" w:lineRule="auto"/>
      </w:pPr>
      <w:r w:rsidRPr="00AC05BA">
        <w:t>Le DPS n’interdit pas à une société de réserver une augmentation de capital à de nouveaux investisseurs.</w:t>
      </w:r>
    </w:p>
    <w:p w14:paraId="54E3519C" w14:textId="77777777" w:rsidR="00AC05BA" w:rsidRPr="00AC05BA" w:rsidRDefault="00AC05BA" w:rsidP="00AC05BA">
      <w:pPr>
        <w:spacing w:after="0" w:line="240" w:lineRule="auto"/>
      </w:pPr>
      <w:r w:rsidRPr="00AC05BA">
        <w:t>L’assemblée compétente peut le supprimer dans les conditions prévues par la loi, notamment afin de réserver l’opération à une ou plusieurs personnes ou catégories de personnes. Des rapports spécifiques sont alors requis selon l’opération. (</w:t>
      </w:r>
      <w:hyperlink r:id="rId21" w:tooltip="Code de commerce - Article L225-138" w:history="1">
        <w:r w:rsidRPr="00AC05BA">
          <w:rPr>
            <w:rStyle w:val="Lienhypertexte"/>
          </w:rPr>
          <w:t>Légifrance</w:t>
        </w:r>
      </w:hyperlink>
      <w:r w:rsidRPr="00AC05BA">
        <w:t>)</w:t>
      </w:r>
    </w:p>
    <w:p w14:paraId="2FBEBF1D" w14:textId="77777777" w:rsidR="00AC05BA" w:rsidRPr="00AC05BA" w:rsidRDefault="00AC05BA" w:rsidP="00AC05BA">
      <w:pPr>
        <w:spacing w:after="0" w:line="240" w:lineRule="auto"/>
      </w:pPr>
      <w:r w:rsidRPr="00AC05BA">
        <w:t>L’actionnaire peut également renoncer individuellement à son propre DPS. (</w:t>
      </w:r>
      <w:hyperlink r:id="rId22" w:tooltip="Code de commerce - Article L225-132" w:history="1">
        <w:r w:rsidRPr="00AC05BA">
          <w:rPr>
            <w:rStyle w:val="Lienhypertexte"/>
          </w:rPr>
          <w:t>Légifrance</w:t>
        </w:r>
      </w:hyperlink>
      <w:r w:rsidRPr="00AC05BA">
        <w:t>)</w:t>
      </w:r>
    </w:p>
    <w:p w14:paraId="43B69586" w14:textId="77777777" w:rsidR="00AC05BA" w:rsidRPr="00AC05BA" w:rsidRDefault="00AC05BA" w:rsidP="00AC05BA">
      <w:pPr>
        <w:spacing w:after="0" w:line="240" w:lineRule="auto"/>
        <w:rPr>
          <w:b/>
          <w:bCs/>
        </w:rPr>
      </w:pPr>
      <w:r w:rsidRPr="00AC05BA">
        <w:rPr>
          <w:b/>
          <w:bCs/>
        </w:rPr>
        <w:t>Point essentiel</w:t>
      </w:r>
    </w:p>
    <w:p w14:paraId="4E93154A" w14:textId="56662643" w:rsidR="00AC05BA" w:rsidRPr="00AC05BA" w:rsidRDefault="00AC05BA" w:rsidP="00AC05BA">
      <w:pPr>
        <w:spacing w:after="0" w:line="240" w:lineRule="auto"/>
      </w:pPr>
      <w:r w:rsidRPr="00AC05BA">
        <w:t>Il faut distinguer</w:t>
      </w:r>
      <w:r>
        <w:t> :</w:t>
      </w:r>
    </w:p>
    <w:p w14:paraId="7BA48907" w14:textId="7ACFD4CD" w:rsidR="00AC05BA" w:rsidRPr="00AC05BA" w:rsidRDefault="00AC05BA">
      <w:pPr>
        <w:numPr>
          <w:ilvl w:val="0"/>
          <w:numId w:val="15"/>
        </w:numPr>
        <w:spacing w:after="0" w:line="240" w:lineRule="auto"/>
      </w:pPr>
      <w:r w:rsidRPr="00AC05BA">
        <w:rPr>
          <w:b/>
          <w:bCs/>
        </w:rPr>
        <w:t>renonciation individuelle</w:t>
      </w:r>
      <w:r w:rsidRPr="00AC05BA">
        <w:t xml:space="preserve"> par l’actionnaire</w:t>
      </w:r>
      <w:r>
        <w:t> ;</w:t>
      </w:r>
    </w:p>
    <w:p w14:paraId="7229C6E1" w14:textId="77777777" w:rsidR="00AC05BA" w:rsidRPr="00AC05BA" w:rsidRDefault="00AC05BA">
      <w:pPr>
        <w:numPr>
          <w:ilvl w:val="0"/>
          <w:numId w:val="15"/>
        </w:numPr>
        <w:spacing w:after="0" w:line="240" w:lineRule="auto"/>
      </w:pPr>
      <w:r w:rsidRPr="00AC05BA">
        <w:rPr>
          <w:b/>
          <w:bCs/>
        </w:rPr>
        <w:t>suppression collective du DPS</w:t>
      </w:r>
      <w:r w:rsidRPr="00AC05BA">
        <w:t xml:space="preserve"> par la société.</w:t>
      </w:r>
    </w:p>
    <w:p w14:paraId="47BF90F6" w14:textId="77777777" w:rsidR="00AC05BA" w:rsidRPr="00AC05BA" w:rsidRDefault="00AC05BA" w:rsidP="00AC05BA">
      <w:pPr>
        <w:pStyle w:val="Titre1"/>
      </w:pPr>
      <w:r w:rsidRPr="00AC05BA">
        <w:t>14. Les actions de préférence permettent d’attirer des investisseurs avec des droits particuliers</w:t>
      </w:r>
    </w:p>
    <w:p w14:paraId="1B290483" w14:textId="74F3E40F" w:rsidR="00AC05BA" w:rsidRPr="00AC05BA" w:rsidRDefault="00AC05BA" w:rsidP="00AC05BA">
      <w:pPr>
        <w:spacing w:after="0" w:line="240" w:lineRule="auto"/>
      </w:pPr>
      <w:r w:rsidRPr="00AC05BA">
        <w:t xml:space="preserve">Une société par actions peut créer des </w:t>
      </w:r>
      <w:r w:rsidRPr="00AC05BA">
        <w:rPr>
          <w:b/>
          <w:bCs/>
        </w:rPr>
        <w:t>actions de préférence</w:t>
      </w:r>
      <w:r>
        <w:t> :</w:t>
      </w:r>
    </w:p>
    <w:p w14:paraId="0F9ED296" w14:textId="007185F1" w:rsidR="00AC05BA" w:rsidRPr="00AC05BA" w:rsidRDefault="00AC05BA">
      <w:pPr>
        <w:numPr>
          <w:ilvl w:val="0"/>
          <w:numId w:val="16"/>
        </w:numPr>
        <w:spacing w:after="0" w:line="240" w:lineRule="auto"/>
      </w:pPr>
      <w:r w:rsidRPr="00AC05BA">
        <w:t>avec ou sans droit de vote</w:t>
      </w:r>
      <w:r>
        <w:t> ;</w:t>
      </w:r>
    </w:p>
    <w:p w14:paraId="5B01726C" w14:textId="1FDFC42C" w:rsidR="00AC05BA" w:rsidRPr="00AC05BA" w:rsidRDefault="00AC05BA">
      <w:pPr>
        <w:numPr>
          <w:ilvl w:val="0"/>
          <w:numId w:val="16"/>
        </w:numPr>
        <w:spacing w:after="0" w:line="240" w:lineRule="auto"/>
      </w:pPr>
      <w:r w:rsidRPr="00AC05BA">
        <w:t>avec des droits particuliers</w:t>
      </w:r>
      <w:r>
        <w:t> ;</w:t>
      </w:r>
    </w:p>
    <w:p w14:paraId="618F8055" w14:textId="77777777" w:rsidR="00AC05BA" w:rsidRPr="00AC05BA" w:rsidRDefault="00AC05BA">
      <w:pPr>
        <w:numPr>
          <w:ilvl w:val="0"/>
          <w:numId w:val="16"/>
        </w:numPr>
        <w:spacing w:after="0" w:line="240" w:lineRule="auto"/>
      </w:pPr>
      <w:r w:rsidRPr="00AC05BA">
        <w:t>à titre temporaire ou permanent.</w:t>
      </w:r>
    </w:p>
    <w:p w14:paraId="593B3AAF" w14:textId="77777777" w:rsidR="00AC05BA" w:rsidRPr="00AC05BA" w:rsidRDefault="00AC05BA" w:rsidP="00AC05BA">
      <w:pPr>
        <w:spacing w:after="0" w:line="240" w:lineRule="auto"/>
      </w:pPr>
      <w:r w:rsidRPr="00AC05BA">
        <w:t>Ces droits sont définis par les statuts. (</w:t>
      </w:r>
      <w:hyperlink r:id="rId23" w:tooltip="Des valeurs mobilières émises par les sociétés par actions. ..." w:history="1">
        <w:r w:rsidRPr="00AC05BA">
          <w:rPr>
            <w:rStyle w:val="Lienhypertexte"/>
          </w:rPr>
          <w:t>Légifrance</w:t>
        </w:r>
      </w:hyperlink>
      <w:r w:rsidRPr="00AC05BA">
        <w:t>)</w:t>
      </w:r>
    </w:p>
    <w:p w14:paraId="50472470" w14:textId="2EC542E8" w:rsidR="00AC05BA" w:rsidRPr="00AC05BA" w:rsidRDefault="00AC05BA" w:rsidP="00AC05BA">
      <w:pPr>
        <w:spacing w:after="0" w:line="240" w:lineRule="auto"/>
      </w:pPr>
      <w:r w:rsidRPr="00AC05BA">
        <w:t>Ils peuvent notamment concerner, dans les limites légales</w:t>
      </w:r>
      <w:r>
        <w:t> :</w:t>
      </w:r>
    </w:p>
    <w:p w14:paraId="544DC6DC" w14:textId="48522950" w:rsidR="00AC05BA" w:rsidRPr="00AC05BA" w:rsidRDefault="00AC05BA">
      <w:pPr>
        <w:numPr>
          <w:ilvl w:val="0"/>
          <w:numId w:val="17"/>
        </w:numPr>
        <w:spacing w:after="0" w:line="240" w:lineRule="auto"/>
      </w:pPr>
      <w:r w:rsidRPr="00AC05BA">
        <w:t>le vote</w:t>
      </w:r>
      <w:r>
        <w:t> ;</w:t>
      </w:r>
    </w:p>
    <w:p w14:paraId="46D2CE86" w14:textId="2D24A30B" w:rsidR="00AC05BA" w:rsidRPr="00AC05BA" w:rsidRDefault="00AC05BA">
      <w:pPr>
        <w:numPr>
          <w:ilvl w:val="0"/>
          <w:numId w:val="17"/>
        </w:numPr>
        <w:spacing w:after="0" w:line="240" w:lineRule="auto"/>
      </w:pPr>
      <w:r w:rsidRPr="00AC05BA">
        <w:t>les dividendes</w:t>
      </w:r>
      <w:r>
        <w:t> ;</w:t>
      </w:r>
    </w:p>
    <w:p w14:paraId="2049B409" w14:textId="32041A4D" w:rsidR="00AC05BA" w:rsidRPr="00AC05BA" w:rsidRDefault="00AC05BA">
      <w:pPr>
        <w:numPr>
          <w:ilvl w:val="0"/>
          <w:numId w:val="17"/>
        </w:numPr>
        <w:spacing w:after="0" w:line="240" w:lineRule="auto"/>
      </w:pPr>
      <w:r w:rsidRPr="00AC05BA">
        <w:t>le remboursement</w:t>
      </w:r>
      <w:r>
        <w:t> ;</w:t>
      </w:r>
    </w:p>
    <w:p w14:paraId="468C9071" w14:textId="77777777" w:rsidR="00AC05BA" w:rsidRPr="00AC05BA" w:rsidRDefault="00AC05BA">
      <w:pPr>
        <w:numPr>
          <w:ilvl w:val="0"/>
          <w:numId w:val="17"/>
        </w:numPr>
        <w:spacing w:after="0" w:line="240" w:lineRule="auto"/>
      </w:pPr>
      <w:r w:rsidRPr="00AC05BA">
        <w:lastRenderedPageBreak/>
        <w:t>certaines prérogatives financières.</w:t>
      </w:r>
    </w:p>
    <w:p w14:paraId="198E0A5B" w14:textId="77777777" w:rsidR="00AC05BA" w:rsidRPr="00AC05BA" w:rsidRDefault="00AC05BA" w:rsidP="00AC05BA">
      <w:pPr>
        <w:spacing w:after="0" w:line="240" w:lineRule="auto"/>
      </w:pPr>
      <w:r w:rsidRPr="00AC05BA">
        <w:t xml:space="preserve">Les actions de préférence sans droit de vote ne peuvent représenter plus de </w:t>
      </w:r>
      <w:r w:rsidRPr="00AC05BA">
        <w:rPr>
          <w:b/>
          <w:bCs/>
        </w:rPr>
        <w:t>la moitié du capital</w:t>
      </w:r>
      <w:r w:rsidRPr="00AC05BA">
        <w:t xml:space="preserve">, et plus du </w:t>
      </w:r>
      <w:r w:rsidRPr="00AC05BA">
        <w:rPr>
          <w:b/>
          <w:bCs/>
        </w:rPr>
        <w:t>quart</w:t>
      </w:r>
      <w:r w:rsidRPr="00AC05BA">
        <w:t xml:space="preserve"> dans les sociétés dont les actions sont admises aux négociations sur un marché réglementé. (</w:t>
      </w:r>
      <w:hyperlink r:id="rId24" w:tooltip="Code de commerce - Article L228-11" w:history="1">
        <w:r w:rsidRPr="00AC05BA">
          <w:rPr>
            <w:rStyle w:val="Lienhypertexte"/>
          </w:rPr>
          <w:t>Légifrance</w:t>
        </w:r>
      </w:hyperlink>
      <w:r w:rsidRPr="00AC05BA">
        <w:t>)</w:t>
      </w:r>
    </w:p>
    <w:p w14:paraId="79300D96" w14:textId="77777777" w:rsidR="00AC05BA" w:rsidRPr="00AC05BA" w:rsidRDefault="00AC05BA" w:rsidP="00AC05BA">
      <w:pPr>
        <w:spacing w:after="0" w:line="240" w:lineRule="auto"/>
      </w:pPr>
      <w:r w:rsidRPr="00AC05BA">
        <w:t>L’émission ou la conversion relève de l’assemblée générale extraordinaire et intervient sur rapport spécial du commissaire aux comptes selon les conditions prévues par l’article L. 228-12. (</w:t>
      </w:r>
      <w:hyperlink r:id="rId25" w:tooltip="Code de commerce - Article L228-12" w:history="1">
        <w:r w:rsidRPr="00AC05BA">
          <w:rPr>
            <w:rStyle w:val="Lienhypertexte"/>
          </w:rPr>
          <w:t>Légifrance</w:t>
        </w:r>
      </w:hyperlink>
      <w:r w:rsidRPr="00AC05BA">
        <w:t>)</w:t>
      </w:r>
    </w:p>
    <w:p w14:paraId="43862D1A" w14:textId="77777777" w:rsidR="00AC05BA" w:rsidRPr="00AC05BA" w:rsidRDefault="00AC05BA" w:rsidP="00AC05BA">
      <w:pPr>
        <w:pStyle w:val="Titre1"/>
      </w:pPr>
      <w:r w:rsidRPr="00AC05BA">
        <w:t>15. La réduction de capital répond à des objectifs très différents</w:t>
      </w:r>
    </w:p>
    <w:p w14:paraId="0D7D10CB" w14:textId="22B7EE1A" w:rsidR="00AC05BA" w:rsidRPr="00AC05BA" w:rsidRDefault="00AC05BA" w:rsidP="00AC05BA">
      <w:pPr>
        <w:spacing w:after="0" w:line="240" w:lineRule="auto"/>
      </w:pPr>
      <w:r w:rsidRPr="00AC05BA">
        <w:t>Une réduction du capital peut être</w:t>
      </w:r>
      <w:r>
        <w:t> :</w:t>
      </w:r>
    </w:p>
    <w:p w14:paraId="11FA0721" w14:textId="77777777" w:rsidR="00AC05BA" w:rsidRPr="00AC05BA" w:rsidRDefault="00AC05BA" w:rsidP="00AC05BA">
      <w:pPr>
        <w:spacing w:after="0" w:line="240" w:lineRule="auto"/>
        <w:rPr>
          <w:b/>
          <w:bCs/>
        </w:rPr>
      </w:pPr>
      <w:r w:rsidRPr="00AC05BA">
        <w:rPr>
          <w:b/>
          <w:bCs/>
        </w:rPr>
        <w:t>Motivée par des pertes</w:t>
      </w:r>
    </w:p>
    <w:p w14:paraId="3FF02620" w14:textId="0AF1EB58" w:rsidR="00AC05BA" w:rsidRPr="00AC05BA" w:rsidRDefault="00AC05BA" w:rsidP="00AC05BA">
      <w:pPr>
        <w:spacing w:after="0" w:line="240" w:lineRule="auto"/>
      </w:pPr>
      <w:r w:rsidRPr="00AC05BA">
        <w:t>Elle permet notamment</w:t>
      </w:r>
      <w:r>
        <w:t> :</w:t>
      </w:r>
    </w:p>
    <w:p w14:paraId="7AF368BF" w14:textId="449D18CD" w:rsidR="00AC05BA" w:rsidRPr="00AC05BA" w:rsidRDefault="00AC05BA">
      <w:pPr>
        <w:numPr>
          <w:ilvl w:val="0"/>
          <w:numId w:val="18"/>
        </w:numPr>
        <w:spacing w:after="0" w:line="240" w:lineRule="auto"/>
      </w:pPr>
      <w:r w:rsidRPr="00AC05BA">
        <w:t>d’apurer comptablement des pertes</w:t>
      </w:r>
      <w:r>
        <w:t> ;</w:t>
      </w:r>
    </w:p>
    <w:p w14:paraId="67066065" w14:textId="3666112E" w:rsidR="00AC05BA" w:rsidRPr="00AC05BA" w:rsidRDefault="00AC05BA">
      <w:pPr>
        <w:numPr>
          <w:ilvl w:val="0"/>
          <w:numId w:val="18"/>
        </w:numPr>
        <w:spacing w:after="0" w:line="240" w:lineRule="auto"/>
      </w:pPr>
      <w:r w:rsidRPr="00AC05BA">
        <w:t>de rétablir une structure de capitaux propres plus cohérente</w:t>
      </w:r>
      <w:r>
        <w:t> ;</w:t>
      </w:r>
    </w:p>
    <w:p w14:paraId="7AACEA04" w14:textId="77777777" w:rsidR="00AC05BA" w:rsidRPr="00AC05BA" w:rsidRDefault="00AC05BA">
      <w:pPr>
        <w:numPr>
          <w:ilvl w:val="0"/>
          <w:numId w:val="18"/>
        </w:numPr>
        <w:spacing w:after="0" w:line="240" w:lineRule="auto"/>
      </w:pPr>
      <w:r w:rsidRPr="00AC05BA">
        <w:t>de préparer éventuellement une nouvelle augmentation de capital.</w:t>
      </w:r>
    </w:p>
    <w:p w14:paraId="569A87CC" w14:textId="77777777" w:rsidR="00AC05BA" w:rsidRPr="00AC05BA" w:rsidRDefault="00AC05BA" w:rsidP="00AC05BA">
      <w:pPr>
        <w:spacing w:after="0" w:line="240" w:lineRule="auto"/>
        <w:rPr>
          <w:b/>
          <w:bCs/>
        </w:rPr>
      </w:pPr>
      <w:r w:rsidRPr="00AC05BA">
        <w:rPr>
          <w:b/>
          <w:bCs/>
        </w:rPr>
        <w:t>Non motivée par des pertes</w:t>
      </w:r>
    </w:p>
    <w:p w14:paraId="01589021" w14:textId="51409140" w:rsidR="00AC05BA" w:rsidRPr="00AC05BA" w:rsidRDefault="00AC05BA" w:rsidP="00AC05BA">
      <w:pPr>
        <w:spacing w:after="0" w:line="240" w:lineRule="auto"/>
      </w:pPr>
      <w:r w:rsidRPr="00AC05BA">
        <w:t>Elle peut notamment permettre</w:t>
      </w:r>
      <w:r>
        <w:t> :</w:t>
      </w:r>
    </w:p>
    <w:p w14:paraId="3D9DEE7F" w14:textId="1DEAA0A4" w:rsidR="00AC05BA" w:rsidRPr="00AC05BA" w:rsidRDefault="00AC05BA">
      <w:pPr>
        <w:numPr>
          <w:ilvl w:val="0"/>
          <w:numId w:val="19"/>
        </w:numPr>
        <w:spacing w:after="0" w:line="240" w:lineRule="auto"/>
      </w:pPr>
      <w:r w:rsidRPr="00AC05BA">
        <w:t>de restituer des capitaux devenus excessifs</w:t>
      </w:r>
      <w:r>
        <w:t> ;</w:t>
      </w:r>
    </w:p>
    <w:p w14:paraId="6ED353EE" w14:textId="16D4463E" w:rsidR="00AC05BA" w:rsidRPr="00AC05BA" w:rsidRDefault="00AC05BA">
      <w:pPr>
        <w:numPr>
          <w:ilvl w:val="0"/>
          <w:numId w:val="19"/>
        </w:numPr>
        <w:spacing w:after="0" w:line="240" w:lineRule="auto"/>
      </w:pPr>
      <w:r w:rsidRPr="00AC05BA">
        <w:t>de réduire la valeur nominale des titres</w:t>
      </w:r>
      <w:r>
        <w:t> ;</w:t>
      </w:r>
    </w:p>
    <w:p w14:paraId="3C47B5F1" w14:textId="77777777" w:rsidR="00AC05BA" w:rsidRPr="00AC05BA" w:rsidRDefault="00AC05BA">
      <w:pPr>
        <w:numPr>
          <w:ilvl w:val="0"/>
          <w:numId w:val="19"/>
        </w:numPr>
        <w:spacing w:after="0" w:line="240" w:lineRule="auto"/>
      </w:pPr>
      <w:r w:rsidRPr="00AC05BA">
        <w:t>d’annuler certains titres.</w:t>
      </w:r>
    </w:p>
    <w:p w14:paraId="261BA85B" w14:textId="77777777" w:rsidR="00AC05BA" w:rsidRPr="00AC05BA" w:rsidRDefault="00AC05BA" w:rsidP="00AC05BA">
      <w:pPr>
        <w:spacing w:after="0" w:line="240" w:lineRule="auto"/>
      </w:pPr>
      <w:r w:rsidRPr="00AC05BA">
        <w:t>Dans une SA, la réduction est décidée ou autorisée par l’assemblée générale extraordinaire et ne peut porter atteinte à l’égalité des actionnaires. (</w:t>
      </w:r>
      <w:hyperlink r:id="rId26" w:tooltip="Des modifications du capital social et de l'actionnariat ... - Légifrance" w:history="1">
        <w:r w:rsidRPr="00AC05BA">
          <w:rPr>
            <w:rStyle w:val="Lienhypertexte"/>
          </w:rPr>
          <w:t>Légifrance</w:t>
        </w:r>
      </w:hyperlink>
      <w:r w:rsidRPr="00AC05BA">
        <w:t>)</w:t>
      </w:r>
    </w:p>
    <w:p w14:paraId="0E1681AE" w14:textId="77777777" w:rsidR="00AC05BA" w:rsidRPr="00AC05BA" w:rsidRDefault="00AC05BA" w:rsidP="00AC05BA">
      <w:pPr>
        <w:spacing w:after="0" w:line="240" w:lineRule="auto"/>
      </w:pPr>
      <w:r w:rsidRPr="00AC05BA">
        <w:t>Dans une SARL, elle est décidée dans les conditions exigées pour la modification des statuts et doit également respecter l’égalité des associés. (</w:t>
      </w:r>
      <w:hyperlink r:id="rId27" w:tooltip="Des sociétés à responsabilité limitée. (Articles L223-1 à ..." w:history="1">
        <w:r w:rsidRPr="00AC05BA">
          <w:rPr>
            <w:rStyle w:val="Lienhypertexte"/>
          </w:rPr>
          <w:t>Légifrance</w:t>
        </w:r>
      </w:hyperlink>
      <w:r w:rsidRPr="00AC05BA">
        <w:t>)</w:t>
      </w:r>
    </w:p>
    <w:p w14:paraId="1079A2CA" w14:textId="77777777" w:rsidR="00AC05BA" w:rsidRPr="00AC05BA" w:rsidRDefault="00AC05BA" w:rsidP="00AC05BA">
      <w:pPr>
        <w:pStyle w:val="Titre1"/>
      </w:pPr>
      <w:r w:rsidRPr="00AC05BA">
        <w:t>16. Les créanciers sont protégés lorsque la réduction n’est pas motivée par des pertes</w:t>
      </w:r>
    </w:p>
    <w:p w14:paraId="2566EA2A" w14:textId="77777777" w:rsidR="00AC05BA" w:rsidRPr="00AC05BA" w:rsidRDefault="00AC05BA" w:rsidP="00AC05BA">
      <w:pPr>
        <w:spacing w:after="0" w:line="240" w:lineRule="auto"/>
      </w:pPr>
      <w:r w:rsidRPr="00AC05BA">
        <w:t>Une réduction non motivée par des pertes peut retirer à la société une partie des ressources constituant le gage de ses créanciers.</w:t>
      </w:r>
    </w:p>
    <w:p w14:paraId="78320B5F" w14:textId="77777777" w:rsidR="00AC05BA" w:rsidRPr="00AC05BA" w:rsidRDefault="00AC05BA" w:rsidP="00AC05BA">
      <w:pPr>
        <w:spacing w:after="0" w:line="240" w:lineRule="auto"/>
      </w:pPr>
      <w:r w:rsidRPr="00AC05BA">
        <w:t>Le droit organise donc une procédure d’</w:t>
      </w:r>
      <w:r w:rsidRPr="00AC05BA">
        <w:rPr>
          <w:b/>
          <w:bCs/>
        </w:rPr>
        <w:t>opposition</w:t>
      </w:r>
      <w:r w:rsidRPr="00AC05BA">
        <w:t>.</w:t>
      </w:r>
    </w:p>
    <w:p w14:paraId="32EB2B9B" w14:textId="77777777" w:rsidR="00AC05BA" w:rsidRPr="00AC05BA" w:rsidRDefault="00AC05BA" w:rsidP="00AC05BA">
      <w:pPr>
        <w:spacing w:after="0" w:line="240" w:lineRule="auto"/>
        <w:rPr>
          <w:b/>
          <w:bCs/>
        </w:rPr>
      </w:pPr>
      <w:r w:rsidRPr="00AC05BA">
        <w:rPr>
          <w:b/>
          <w:bCs/>
        </w:rPr>
        <w:t>SA</w:t>
      </w:r>
    </w:p>
    <w:p w14:paraId="02F4A8F6" w14:textId="6F234E59" w:rsidR="00AC05BA" w:rsidRPr="00AC05BA" w:rsidRDefault="00AC05BA" w:rsidP="00AC05BA">
      <w:pPr>
        <w:spacing w:after="0" w:line="240" w:lineRule="auto"/>
      </w:pPr>
      <w:r w:rsidRPr="00AC05BA">
        <w:t xml:space="preserve">Le délai d’opposition est de </w:t>
      </w:r>
      <w:r w:rsidRPr="00AC05BA">
        <w:rPr>
          <w:b/>
          <w:bCs/>
        </w:rPr>
        <w:t>20 jours</w:t>
      </w:r>
      <w:r w:rsidRPr="00AC05BA">
        <w:t xml:space="preserve"> à compter du dépôt au greffe du procès-verbal de la décision. Le juge peut</w:t>
      </w:r>
      <w:r>
        <w:t> :</w:t>
      </w:r>
    </w:p>
    <w:p w14:paraId="7F029C10" w14:textId="14A6C735" w:rsidR="00AC05BA" w:rsidRPr="00AC05BA" w:rsidRDefault="00AC05BA">
      <w:pPr>
        <w:numPr>
          <w:ilvl w:val="0"/>
          <w:numId w:val="20"/>
        </w:numPr>
        <w:spacing w:after="0" w:line="240" w:lineRule="auto"/>
      </w:pPr>
      <w:r w:rsidRPr="00AC05BA">
        <w:t>rejeter l’opposition</w:t>
      </w:r>
      <w:r>
        <w:t> ;</w:t>
      </w:r>
    </w:p>
    <w:p w14:paraId="222A0296" w14:textId="566A01BD" w:rsidR="00AC05BA" w:rsidRPr="00AC05BA" w:rsidRDefault="00AC05BA">
      <w:pPr>
        <w:numPr>
          <w:ilvl w:val="0"/>
          <w:numId w:val="20"/>
        </w:numPr>
        <w:spacing w:after="0" w:line="240" w:lineRule="auto"/>
      </w:pPr>
      <w:r w:rsidRPr="00AC05BA">
        <w:t>ordonner le remboursement de la créance</w:t>
      </w:r>
      <w:r>
        <w:t> ;</w:t>
      </w:r>
    </w:p>
    <w:p w14:paraId="40B1E6C5" w14:textId="77777777" w:rsidR="00AC05BA" w:rsidRPr="00AC05BA" w:rsidRDefault="00AC05BA">
      <w:pPr>
        <w:numPr>
          <w:ilvl w:val="0"/>
          <w:numId w:val="20"/>
        </w:numPr>
        <w:spacing w:after="0" w:line="240" w:lineRule="auto"/>
      </w:pPr>
      <w:r w:rsidRPr="00AC05BA">
        <w:t>imposer la constitution de garanties suffisantes. (</w:t>
      </w:r>
      <w:hyperlink r:id="rId28" w:tooltip="De la réduction du capital. (Articles L225-204 à L225-205) - Légifrance" w:history="1">
        <w:r w:rsidRPr="00AC05BA">
          <w:rPr>
            <w:rStyle w:val="Lienhypertexte"/>
          </w:rPr>
          <w:t>Légifrance</w:t>
        </w:r>
      </w:hyperlink>
      <w:r w:rsidRPr="00AC05BA">
        <w:t>)</w:t>
      </w:r>
    </w:p>
    <w:p w14:paraId="03EEE8D7" w14:textId="77777777" w:rsidR="00AC05BA" w:rsidRPr="00AC05BA" w:rsidRDefault="00AC05BA" w:rsidP="00AC05BA">
      <w:pPr>
        <w:spacing w:after="0" w:line="240" w:lineRule="auto"/>
        <w:rPr>
          <w:b/>
          <w:bCs/>
        </w:rPr>
      </w:pPr>
      <w:r w:rsidRPr="00AC05BA">
        <w:rPr>
          <w:b/>
          <w:bCs/>
        </w:rPr>
        <w:t>SARL</w:t>
      </w:r>
    </w:p>
    <w:p w14:paraId="7F672857" w14:textId="77777777" w:rsidR="00AC05BA" w:rsidRPr="00AC05BA" w:rsidRDefault="00AC05BA" w:rsidP="00AC05BA">
      <w:pPr>
        <w:spacing w:after="0" w:line="240" w:lineRule="auto"/>
      </w:pPr>
      <w:r w:rsidRPr="00AC05BA">
        <w:t xml:space="preserve">Le délai d’opposition est de </w:t>
      </w:r>
      <w:r w:rsidRPr="00AC05BA">
        <w:rPr>
          <w:b/>
          <w:bCs/>
        </w:rPr>
        <w:t>un mois</w:t>
      </w:r>
      <w:r w:rsidRPr="00AC05BA">
        <w:t xml:space="preserve"> à compter du dépôt du procès-verbal. (</w:t>
      </w:r>
      <w:hyperlink r:id="rId29" w:tooltip="Article R223-35 - Code de commerce" w:history="1">
        <w:r w:rsidRPr="00AC05BA">
          <w:rPr>
            <w:rStyle w:val="Lienhypertexte"/>
          </w:rPr>
          <w:t>Légifrance</w:t>
        </w:r>
      </w:hyperlink>
      <w:r w:rsidRPr="00AC05BA">
        <w:t>)</w:t>
      </w:r>
    </w:p>
    <w:tbl>
      <w:tblPr>
        <w:tblStyle w:val="Grilledutableau"/>
        <w:tblW w:w="0" w:type="auto"/>
        <w:tblLook w:val="04A0" w:firstRow="1" w:lastRow="0" w:firstColumn="1" w:lastColumn="0" w:noHBand="0" w:noVBand="1"/>
      </w:tblPr>
      <w:tblGrid>
        <w:gridCol w:w="2412"/>
        <w:gridCol w:w="5372"/>
      </w:tblGrid>
      <w:tr w:rsidR="00AC05BA" w:rsidRPr="00AC05BA" w14:paraId="0495A719" w14:textId="77777777" w:rsidTr="00AC05BA">
        <w:trPr>
          <w:tblHeader/>
        </w:trPr>
        <w:tc>
          <w:tcPr>
            <w:tcW w:w="0" w:type="auto"/>
            <w:hideMark/>
          </w:tcPr>
          <w:p w14:paraId="33838033" w14:textId="77777777" w:rsidR="00AC05BA" w:rsidRPr="00AC05BA" w:rsidRDefault="00AC05BA" w:rsidP="00AC05BA">
            <w:pPr>
              <w:jc w:val="left"/>
              <w:rPr>
                <w:rFonts w:ascii="Calibri" w:hAnsi="Calibri" w:cs="Calibri"/>
                <w:b/>
                <w:bCs/>
                <w:sz w:val="20"/>
              </w:rPr>
            </w:pPr>
            <w:r w:rsidRPr="00AC05BA">
              <w:rPr>
                <w:rFonts w:ascii="Calibri" w:hAnsi="Calibri" w:cs="Calibri"/>
                <w:b/>
                <w:bCs/>
                <w:sz w:val="20"/>
              </w:rPr>
              <w:t>Réduction</w:t>
            </w:r>
          </w:p>
        </w:tc>
        <w:tc>
          <w:tcPr>
            <w:tcW w:w="0" w:type="auto"/>
            <w:hideMark/>
          </w:tcPr>
          <w:p w14:paraId="56DA0243" w14:textId="77777777" w:rsidR="00AC05BA" w:rsidRPr="00AC05BA" w:rsidRDefault="00AC05BA" w:rsidP="00AC05BA">
            <w:pPr>
              <w:jc w:val="left"/>
              <w:rPr>
                <w:rFonts w:ascii="Calibri" w:hAnsi="Calibri" w:cs="Calibri"/>
                <w:b/>
                <w:bCs/>
                <w:sz w:val="20"/>
              </w:rPr>
            </w:pPr>
            <w:r w:rsidRPr="00AC05BA">
              <w:rPr>
                <w:rFonts w:ascii="Calibri" w:hAnsi="Calibri" w:cs="Calibri"/>
                <w:b/>
                <w:bCs/>
                <w:sz w:val="20"/>
              </w:rPr>
              <w:t>Protection par opposition</w:t>
            </w:r>
          </w:p>
        </w:tc>
      </w:tr>
      <w:tr w:rsidR="00AC05BA" w:rsidRPr="00AC05BA" w14:paraId="61108AA0" w14:textId="77777777" w:rsidTr="00AC05BA">
        <w:tc>
          <w:tcPr>
            <w:tcW w:w="0" w:type="auto"/>
            <w:hideMark/>
          </w:tcPr>
          <w:p w14:paraId="7C382CFD" w14:textId="77777777" w:rsidR="00AC05BA" w:rsidRPr="00AC05BA" w:rsidRDefault="00AC05BA" w:rsidP="00AC05BA">
            <w:pPr>
              <w:jc w:val="left"/>
              <w:rPr>
                <w:rFonts w:ascii="Calibri" w:hAnsi="Calibri" w:cs="Calibri"/>
                <w:sz w:val="20"/>
              </w:rPr>
            </w:pPr>
            <w:r w:rsidRPr="00AC05BA">
              <w:rPr>
                <w:rFonts w:ascii="Calibri" w:hAnsi="Calibri" w:cs="Calibri"/>
                <w:sz w:val="20"/>
              </w:rPr>
              <w:t>Motivée par les pertes</w:t>
            </w:r>
          </w:p>
        </w:tc>
        <w:tc>
          <w:tcPr>
            <w:tcW w:w="0" w:type="auto"/>
            <w:hideMark/>
          </w:tcPr>
          <w:p w14:paraId="1222EDFC" w14:textId="77777777" w:rsidR="00AC05BA" w:rsidRPr="00AC05BA" w:rsidRDefault="00AC05BA" w:rsidP="00AC05BA">
            <w:pPr>
              <w:jc w:val="left"/>
              <w:rPr>
                <w:rFonts w:ascii="Calibri" w:hAnsi="Calibri" w:cs="Calibri"/>
                <w:sz w:val="20"/>
              </w:rPr>
            </w:pPr>
            <w:r w:rsidRPr="00AC05BA">
              <w:rPr>
                <w:rFonts w:ascii="Calibri" w:hAnsi="Calibri" w:cs="Calibri"/>
                <w:sz w:val="20"/>
              </w:rPr>
              <w:t>Pas le même mécanisme d’opposition</w:t>
            </w:r>
          </w:p>
        </w:tc>
      </w:tr>
      <w:tr w:rsidR="00AC05BA" w:rsidRPr="00AC05BA" w14:paraId="3B802D1E" w14:textId="77777777" w:rsidTr="00AC05BA">
        <w:tc>
          <w:tcPr>
            <w:tcW w:w="0" w:type="auto"/>
            <w:hideMark/>
          </w:tcPr>
          <w:p w14:paraId="52A3112A" w14:textId="77777777" w:rsidR="00AC05BA" w:rsidRPr="00AC05BA" w:rsidRDefault="00AC05BA" w:rsidP="00AC05BA">
            <w:pPr>
              <w:jc w:val="left"/>
              <w:rPr>
                <w:rFonts w:ascii="Calibri" w:hAnsi="Calibri" w:cs="Calibri"/>
                <w:sz w:val="20"/>
              </w:rPr>
            </w:pPr>
            <w:r w:rsidRPr="00AC05BA">
              <w:rPr>
                <w:rFonts w:ascii="Calibri" w:hAnsi="Calibri" w:cs="Calibri"/>
                <w:sz w:val="20"/>
              </w:rPr>
              <w:lastRenderedPageBreak/>
              <w:t>Non motivée par les pertes</w:t>
            </w:r>
          </w:p>
        </w:tc>
        <w:tc>
          <w:tcPr>
            <w:tcW w:w="0" w:type="auto"/>
            <w:hideMark/>
          </w:tcPr>
          <w:p w14:paraId="54D64775" w14:textId="77777777" w:rsidR="00AC05BA" w:rsidRPr="00AC05BA" w:rsidRDefault="00AC05BA" w:rsidP="00AC05BA">
            <w:pPr>
              <w:jc w:val="left"/>
              <w:rPr>
                <w:rFonts w:ascii="Calibri" w:hAnsi="Calibri" w:cs="Calibri"/>
                <w:sz w:val="20"/>
              </w:rPr>
            </w:pPr>
            <w:r w:rsidRPr="00AC05BA">
              <w:rPr>
                <w:rFonts w:ascii="Calibri" w:hAnsi="Calibri" w:cs="Calibri"/>
                <w:sz w:val="20"/>
              </w:rPr>
              <w:t>Opposition des créanciers antérieurs dans les conditions légales</w:t>
            </w:r>
          </w:p>
        </w:tc>
      </w:tr>
    </w:tbl>
    <w:p w14:paraId="3F4FBB07" w14:textId="05C6AB26" w:rsidR="00AC05BA" w:rsidRPr="00AC05BA" w:rsidRDefault="00AC05BA" w:rsidP="00AC05BA">
      <w:pPr>
        <w:pStyle w:val="Titre1"/>
      </w:pPr>
      <w:r w:rsidRPr="00AC05BA">
        <w:t xml:space="preserve">17. Le </w:t>
      </w:r>
      <w:r>
        <w:t>« </w:t>
      </w:r>
      <w:r w:rsidRPr="00AC05BA">
        <w:t>coup d’accordéon</w:t>
      </w:r>
      <w:r>
        <w:t> »</w:t>
      </w:r>
      <w:r w:rsidRPr="00AC05BA">
        <w:t xml:space="preserve"> combine réduction puis augmentation du capital</w:t>
      </w:r>
    </w:p>
    <w:p w14:paraId="70C6E14B" w14:textId="61C4D584" w:rsidR="00AC05BA" w:rsidRPr="00AC05BA" w:rsidRDefault="00AC05BA" w:rsidP="00AC05BA">
      <w:pPr>
        <w:spacing w:after="0" w:line="240" w:lineRule="auto"/>
      </w:pPr>
      <w:r w:rsidRPr="00AC05BA">
        <w:t>Une société ayant accumulé de lourdes pertes peut</w:t>
      </w:r>
      <w:r>
        <w:t> :</w:t>
      </w:r>
    </w:p>
    <w:p w14:paraId="18BDEDB7" w14:textId="70D40253" w:rsidR="00AC05BA" w:rsidRPr="00AC05BA" w:rsidRDefault="00AC05BA">
      <w:pPr>
        <w:numPr>
          <w:ilvl w:val="0"/>
          <w:numId w:val="21"/>
        </w:numPr>
        <w:spacing w:after="0" w:line="240" w:lineRule="auto"/>
      </w:pPr>
      <w:r w:rsidRPr="00AC05BA">
        <w:t>réduire son capital pour absorber les pertes</w:t>
      </w:r>
      <w:r>
        <w:t> ;</w:t>
      </w:r>
    </w:p>
    <w:p w14:paraId="49553582" w14:textId="77777777" w:rsidR="00AC05BA" w:rsidRPr="00AC05BA" w:rsidRDefault="00AC05BA">
      <w:pPr>
        <w:numPr>
          <w:ilvl w:val="0"/>
          <w:numId w:val="21"/>
        </w:numPr>
        <w:spacing w:after="0" w:line="240" w:lineRule="auto"/>
      </w:pPr>
      <w:r w:rsidRPr="00AC05BA">
        <w:t>procéder immédiatement ou ensuite à une augmentation de capital apportant de nouvelles ressources.</w:t>
      </w:r>
    </w:p>
    <w:p w14:paraId="64F2A69F" w14:textId="77777777" w:rsidR="00AC05BA" w:rsidRPr="00AC05BA" w:rsidRDefault="00AC05BA" w:rsidP="00AC05BA">
      <w:pPr>
        <w:spacing w:after="0" w:line="240" w:lineRule="auto"/>
      </w:pPr>
      <w:r w:rsidRPr="00AC05BA">
        <w:t xml:space="preserve">Cette opération est couramment appelée </w:t>
      </w:r>
      <w:r w:rsidRPr="00AC05BA">
        <w:rPr>
          <w:b/>
          <w:bCs/>
        </w:rPr>
        <w:t>coup d’accordéon</w:t>
      </w:r>
      <w:r w:rsidRPr="00AC05BA">
        <w:t>.</w:t>
      </w:r>
    </w:p>
    <w:p w14:paraId="4BEF1F44" w14:textId="4EB20C2A" w:rsidR="00AC05BA" w:rsidRPr="00AC05BA" w:rsidRDefault="00AC05BA" w:rsidP="00AC05BA">
      <w:pPr>
        <w:spacing w:after="0" w:line="240" w:lineRule="auto"/>
      </w:pPr>
      <w:r w:rsidRPr="00AC05BA">
        <w:t>Elle peut permettre</w:t>
      </w:r>
      <w:r>
        <w:t> :</w:t>
      </w:r>
    </w:p>
    <w:p w14:paraId="2F8F570F" w14:textId="51BFCFA3" w:rsidR="00AC05BA" w:rsidRPr="00AC05BA" w:rsidRDefault="00AC05BA">
      <w:pPr>
        <w:numPr>
          <w:ilvl w:val="0"/>
          <w:numId w:val="22"/>
        </w:numPr>
        <w:spacing w:after="0" w:line="240" w:lineRule="auto"/>
      </w:pPr>
      <w:r w:rsidRPr="00AC05BA">
        <w:t>d’assainir le bilan</w:t>
      </w:r>
      <w:r>
        <w:t> ;</w:t>
      </w:r>
    </w:p>
    <w:p w14:paraId="290BAEBF" w14:textId="3B626A56" w:rsidR="00AC05BA" w:rsidRPr="00AC05BA" w:rsidRDefault="00AC05BA">
      <w:pPr>
        <w:numPr>
          <w:ilvl w:val="0"/>
          <w:numId w:val="22"/>
        </w:numPr>
        <w:spacing w:after="0" w:line="240" w:lineRule="auto"/>
      </w:pPr>
      <w:r w:rsidRPr="00AC05BA">
        <w:t>d’accueillir de nouveaux investisseurs</w:t>
      </w:r>
      <w:r>
        <w:t> ;</w:t>
      </w:r>
    </w:p>
    <w:p w14:paraId="403B9620" w14:textId="77777777" w:rsidR="00AC05BA" w:rsidRPr="00AC05BA" w:rsidRDefault="00AC05BA">
      <w:pPr>
        <w:numPr>
          <w:ilvl w:val="0"/>
          <w:numId w:val="22"/>
        </w:numPr>
        <w:spacing w:after="0" w:line="240" w:lineRule="auto"/>
      </w:pPr>
      <w:r w:rsidRPr="00AC05BA">
        <w:t>de poursuivre l’activité malgré des pertes importantes.</w:t>
      </w:r>
    </w:p>
    <w:p w14:paraId="48FB2111" w14:textId="77777777" w:rsidR="00AC05BA" w:rsidRPr="00AC05BA" w:rsidRDefault="00AC05BA" w:rsidP="00AC05BA">
      <w:pPr>
        <w:spacing w:after="0" w:line="240" w:lineRule="auto"/>
      </w:pPr>
      <w:r w:rsidRPr="00AC05BA">
        <w:t>Le dispositif est expressément présenté par l’administration parmi les moyens de régulariser des capitaux propres inférieurs à la moitié du capital. (</w:t>
      </w:r>
      <w:hyperlink r:id="rId30" w:tooltip="Perte de la moitié des capitaux propres | Service Public Entreprendre" w:history="1">
        <w:r w:rsidRPr="00AC05BA">
          <w:rPr>
            <w:rStyle w:val="Lienhypertexte"/>
          </w:rPr>
          <w:t>Service Public Entreprendre</w:t>
        </w:r>
      </w:hyperlink>
      <w:r w:rsidRPr="00AC05BA">
        <w:t>)</w:t>
      </w:r>
    </w:p>
    <w:p w14:paraId="6530620A" w14:textId="7CDC2334" w:rsidR="00AC05BA" w:rsidRPr="00AC05BA" w:rsidRDefault="00AC05BA" w:rsidP="00AC05BA">
      <w:pPr>
        <w:pStyle w:val="Titre1"/>
      </w:pPr>
      <w:r w:rsidRPr="00AC05BA">
        <w:t>18. Capitaux propres inférieurs à la moitié du capital</w:t>
      </w:r>
      <w:r>
        <w:t> :</w:t>
      </w:r>
      <w:r w:rsidRPr="00AC05BA">
        <w:t xml:space="preserve"> une procédure obligatoire</w:t>
      </w:r>
    </w:p>
    <w:p w14:paraId="0C2E03CF" w14:textId="77777777" w:rsidR="00AC05BA" w:rsidRPr="00AC05BA" w:rsidRDefault="00AC05BA" w:rsidP="00AC05BA">
      <w:pPr>
        <w:spacing w:after="0" w:line="240" w:lineRule="auto"/>
      </w:pPr>
      <w:r w:rsidRPr="00AC05BA">
        <w:t xml:space="preserve">Pour les SARL/EURL, SAS/SASU et SA notamment, lorsque les pertes font devenir les capitaux propres </w:t>
      </w:r>
      <w:r w:rsidRPr="00AC05BA">
        <w:rPr>
          <w:b/>
          <w:bCs/>
        </w:rPr>
        <w:t>inférieurs à la moitié du capital social</w:t>
      </w:r>
      <w:r w:rsidRPr="00AC05BA">
        <w:t xml:space="preserve">, les associés ou actionnaires doivent être consultés sur une éventuelle dissolution anticipée dans les </w:t>
      </w:r>
      <w:r w:rsidRPr="00AC05BA">
        <w:rPr>
          <w:b/>
          <w:bCs/>
        </w:rPr>
        <w:t>quatre mois suivant l’approbation des comptes</w:t>
      </w:r>
      <w:r w:rsidRPr="00AC05BA">
        <w:t xml:space="preserve"> ayant fait apparaître la perte. (</w:t>
      </w:r>
      <w:hyperlink r:id="rId31" w:tooltip="Perte de la moitié des capitaux propres | Service Public Entreprendre" w:history="1">
        <w:r w:rsidRPr="00AC05BA">
          <w:rPr>
            <w:rStyle w:val="Lienhypertexte"/>
          </w:rPr>
          <w:t>Service Public Entreprendre</w:t>
        </w:r>
      </w:hyperlink>
      <w:r w:rsidRPr="00AC05BA">
        <w:t>)</w:t>
      </w:r>
    </w:p>
    <w:p w14:paraId="5C54DE6F" w14:textId="77777777" w:rsidR="00AC05BA" w:rsidRPr="00AC05BA" w:rsidRDefault="00AC05BA" w:rsidP="00AC05BA">
      <w:pPr>
        <w:spacing w:after="0" w:line="240" w:lineRule="auto"/>
      </w:pPr>
      <w:r w:rsidRPr="00AC05BA">
        <w:t>Si la dissolution est écartée, la société doit régulariser sa situation.</w:t>
      </w:r>
    </w:p>
    <w:p w14:paraId="3EE6380B" w14:textId="31665BF3" w:rsidR="00AC05BA" w:rsidRPr="00AC05BA" w:rsidRDefault="00AC05BA" w:rsidP="00AC05BA">
      <w:pPr>
        <w:spacing w:after="0" w:line="240" w:lineRule="auto"/>
      </w:pPr>
      <w:r w:rsidRPr="00AC05BA">
        <w:t>Elle peut notamment</w:t>
      </w:r>
      <w:r>
        <w:t> :</w:t>
      </w:r>
    </w:p>
    <w:p w14:paraId="2100D12B" w14:textId="2588A896" w:rsidR="00AC05BA" w:rsidRPr="00AC05BA" w:rsidRDefault="00AC05BA">
      <w:pPr>
        <w:numPr>
          <w:ilvl w:val="0"/>
          <w:numId w:val="23"/>
        </w:numPr>
        <w:spacing w:after="0" w:line="240" w:lineRule="auto"/>
      </w:pPr>
      <w:r w:rsidRPr="00AC05BA">
        <w:t>réaliser des bénéfices</w:t>
      </w:r>
      <w:r>
        <w:t> ;</w:t>
      </w:r>
    </w:p>
    <w:p w14:paraId="376529ED" w14:textId="658ACACA" w:rsidR="00AC05BA" w:rsidRPr="00AC05BA" w:rsidRDefault="00AC05BA">
      <w:pPr>
        <w:numPr>
          <w:ilvl w:val="0"/>
          <w:numId w:val="23"/>
        </w:numPr>
        <w:spacing w:after="0" w:line="240" w:lineRule="auto"/>
      </w:pPr>
      <w:r w:rsidRPr="00AC05BA">
        <w:t>augmenter son capital</w:t>
      </w:r>
      <w:r>
        <w:t> ;</w:t>
      </w:r>
    </w:p>
    <w:p w14:paraId="3F0631A1" w14:textId="47C795A1" w:rsidR="00AC05BA" w:rsidRPr="00AC05BA" w:rsidRDefault="00AC05BA">
      <w:pPr>
        <w:numPr>
          <w:ilvl w:val="0"/>
          <w:numId w:val="23"/>
        </w:numPr>
        <w:spacing w:after="0" w:line="240" w:lineRule="auto"/>
      </w:pPr>
      <w:r w:rsidRPr="00AC05BA">
        <w:t>obtenir un abandon de créance</w:t>
      </w:r>
      <w:r>
        <w:t> ;</w:t>
      </w:r>
    </w:p>
    <w:p w14:paraId="6BAAC0BB" w14:textId="539E5F98" w:rsidR="00AC05BA" w:rsidRPr="00AC05BA" w:rsidRDefault="00AC05BA">
      <w:pPr>
        <w:numPr>
          <w:ilvl w:val="0"/>
          <w:numId w:val="23"/>
        </w:numPr>
        <w:spacing w:after="0" w:line="240" w:lineRule="auto"/>
      </w:pPr>
      <w:r w:rsidRPr="00AC05BA">
        <w:t>réduire son capital pour absorber les pertes</w:t>
      </w:r>
      <w:r>
        <w:t> ;</w:t>
      </w:r>
    </w:p>
    <w:p w14:paraId="10B0BE92" w14:textId="77777777" w:rsidR="00AC05BA" w:rsidRPr="00AC05BA" w:rsidRDefault="00AC05BA">
      <w:pPr>
        <w:numPr>
          <w:ilvl w:val="0"/>
          <w:numId w:val="23"/>
        </w:numPr>
        <w:spacing w:after="0" w:line="240" w:lineRule="auto"/>
      </w:pPr>
      <w:r w:rsidRPr="00AC05BA">
        <w:t>effectuer un coup d’accordéon. (</w:t>
      </w:r>
      <w:hyperlink r:id="rId32" w:tooltip="Perte de la moitié des capitaux propres | Service Public Entreprendre" w:history="1">
        <w:r w:rsidRPr="00AC05BA">
          <w:rPr>
            <w:rStyle w:val="Lienhypertexte"/>
          </w:rPr>
          <w:t>Service Public Entreprendre</w:t>
        </w:r>
      </w:hyperlink>
      <w:r w:rsidRPr="00AC05BA">
        <w:t>)</w:t>
      </w:r>
    </w:p>
    <w:p w14:paraId="678BAB99" w14:textId="77777777" w:rsidR="00AC05BA" w:rsidRPr="00AC05BA" w:rsidRDefault="00AC05BA" w:rsidP="00AC05BA">
      <w:pPr>
        <w:pStyle w:val="Titre1"/>
      </w:pPr>
      <w:r w:rsidRPr="00AC05BA">
        <w:t>19. Depuis 2023, la régularisation bénéficie d’un délai supplémentaire</w:t>
      </w:r>
    </w:p>
    <w:p w14:paraId="7442EE23" w14:textId="77777777" w:rsidR="00AC05BA" w:rsidRPr="00AC05BA" w:rsidRDefault="00AC05BA" w:rsidP="00AC05BA">
      <w:pPr>
        <w:spacing w:after="0" w:line="240" w:lineRule="auto"/>
      </w:pPr>
      <w:r w:rsidRPr="00AC05BA">
        <w:t xml:space="preserve">La société doit normalement reconstituer ses capitaux propres à hauteur d’au moins la moitié du capital avant la clôture du </w:t>
      </w:r>
      <w:r w:rsidRPr="00AC05BA">
        <w:rPr>
          <w:b/>
          <w:bCs/>
        </w:rPr>
        <w:t>deuxième exercice suivant</w:t>
      </w:r>
      <w:r w:rsidRPr="00AC05BA">
        <w:t xml:space="preserve"> celui au cours duquel les pertes ont été constatées.</w:t>
      </w:r>
    </w:p>
    <w:p w14:paraId="46B6A196" w14:textId="77777777" w:rsidR="00AC05BA" w:rsidRPr="00AC05BA" w:rsidRDefault="00AC05BA" w:rsidP="00AC05BA">
      <w:pPr>
        <w:spacing w:after="0" w:line="240" w:lineRule="auto"/>
      </w:pPr>
      <w:r w:rsidRPr="00AC05BA">
        <w:t xml:space="preserve">Si cette reconstitution n’est pas réalisée, elle dispose désormais d’un </w:t>
      </w:r>
      <w:r w:rsidRPr="00AC05BA">
        <w:rPr>
          <w:b/>
          <w:bCs/>
        </w:rPr>
        <w:t>nouveau délai de deux ans</w:t>
      </w:r>
      <w:r w:rsidRPr="00AC05BA">
        <w:t xml:space="preserve"> pour réduire son capital jusqu’au seuil réglementaire applicable. (</w:t>
      </w:r>
      <w:hyperlink r:id="rId33" w:tooltip="Perte de la moitié des capitaux propres | Service Public Entreprendre" w:history="1">
        <w:r w:rsidRPr="00AC05BA">
          <w:rPr>
            <w:rStyle w:val="Lienhypertexte"/>
          </w:rPr>
          <w:t>Service Public Entreprendre</w:t>
        </w:r>
      </w:hyperlink>
      <w:r w:rsidRPr="00AC05BA">
        <w:t>)</w:t>
      </w:r>
    </w:p>
    <w:p w14:paraId="6761CE7B" w14:textId="5920017E" w:rsidR="00AC05BA" w:rsidRPr="00AC05BA" w:rsidRDefault="00AC05BA" w:rsidP="00AC05BA">
      <w:pPr>
        <w:spacing w:after="0" w:line="240" w:lineRule="auto"/>
      </w:pPr>
      <w:r w:rsidRPr="00AC05BA">
        <w:t xml:space="preserve">Pour les sociétés ordinaires concernées, ce seuil correspond à </w:t>
      </w:r>
      <w:r w:rsidRPr="00AC05BA">
        <w:rPr>
          <w:b/>
          <w:bCs/>
        </w:rPr>
        <w:t>1</w:t>
      </w:r>
      <w:r>
        <w:rPr>
          <w:b/>
          <w:bCs/>
        </w:rPr>
        <w:t> %</w:t>
      </w:r>
      <w:r w:rsidRPr="00AC05BA">
        <w:rPr>
          <w:b/>
          <w:bCs/>
        </w:rPr>
        <w:t xml:space="preserve"> du total du bilan du dernier exercice</w:t>
      </w:r>
      <w:r w:rsidRPr="00AC05BA">
        <w:t>, avec prise en compte du capital minimal légal pour les SA et SCA. (</w:t>
      </w:r>
      <w:hyperlink r:id="rId34" w:tooltip="Perte de la moitié des capitaux propres | Service Public Entreprendre" w:history="1">
        <w:r w:rsidRPr="00AC05BA">
          <w:rPr>
            <w:rStyle w:val="Lienhypertexte"/>
          </w:rPr>
          <w:t>Service Public Entreprendre</w:t>
        </w:r>
      </w:hyperlink>
      <w:r w:rsidRPr="00AC05BA">
        <w:t>)</w:t>
      </w:r>
    </w:p>
    <w:p w14:paraId="2E3B4077" w14:textId="77777777" w:rsidR="00AC05BA" w:rsidRPr="00AC05BA" w:rsidRDefault="00AC05BA" w:rsidP="00AC05BA">
      <w:pPr>
        <w:spacing w:after="0" w:line="240" w:lineRule="auto"/>
        <w:rPr>
          <w:b/>
          <w:bCs/>
        </w:rPr>
      </w:pPr>
      <w:r w:rsidRPr="00AC05BA">
        <w:rPr>
          <w:b/>
          <w:bCs/>
        </w:rPr>
        <w:t>Point essentiel</w:t>
      </w:r>
    </w:p>
    <w:p w14:paraId="3224F1C5" w14:textId="77777777" w:rsidR="00AC05BA" w:rsidRPr="00AC05BA" w:rsidRDefault="00AC05BA" w:rsidP="00AC05BA">
      <w:pPr>
        <w:spacing w:after="0" w:line="240" w:lineRule="auto"/>
      </w:pPr>
      <w:r w:rsidRPr="00AC05BA">
        <w:rPr>
          <w:b/>
          <w:bCs/>
        </w:rPr>
        <w:t>Capitaux propres inférieurs à la moitié du capital ≠ dissolution automatique.</w:t>
      </w:r>
    </w:p>
    <w:p w14:paraId="4E5BD28E" w14:textId="77777777" w:rsidR="00AC05BA" w:rsidRPr="00AC05BA" w:rsidRDefault="00AC05BA" w:rsidP="00AC05BA">
      <w:pPr>
        <w:spacing w:after="0" w:line="240" w:lineRule="auto"/>
      </w:pPr>
      <w:r w:rsidRPr="00AC05BA">
        <w:t>La loi organise une procédure de décision et de régularisation.</w:t>
      </w:r>
    </w:p>
    <w:p w14:paraId="33A97012" w14:textId="77777777" w:rsidR="00AC05BA" w:rsidRPr="00AC05BA" w:rsidRDefault="00AC05BA" w:rsidP="00AC05BA">
      <w:pPr>
        <w:spacing w:after="0" w:line="240" w:lineRule="auto"/>
      </w:pPr>
      <w:r w:rsidRPr="00AC05BA">
        <w:lastRenderedPageBreak/>
        <w:t xml:space="preserve">La dissolution sera reprise dans la </w:t>
      </w:r>
      <w:r w:rsidRPr="00AC05BA">
        <w:rPr>
          <w:b/>
          <w:bCs/>
        </w:rPr>
        <w:t>fiche 10</w:t>
      </w:r>
      <w:r w:rsidRPr="00AC05BA">
        <w:t>.</w:t>
      </w:r>
    </w:p>
    <w:p w14:paraId="063D3E41" w14:textId="77777777" w:rsidR="00AC05BA" w:rsidRPr="00AC05BA" w:rsidRDefault="00AC05BA" w:rsidP="00AC05BA">
      <w:pPr>
        <w:pStyle w:val="Titre1"/>
      </w:pPr>
      <w:r w:rsidRPr="00AC05BA">
        <w:t>20. L’emprunt obligataire est un financement par dette</w:t>
      </w:r>
    </w:p>
    <w:p w14:paraId="768A03AD" w14:textId="77777777" w:rsidR="00AC05BA" w:rsidRPr="00AC05BA" w:rsidRDefault="00AC05BA" w:rsidP="00AC05BA">
      <w:pPr>
        <w:spacing w:after="0" w:line="240" w:lineRule="auto"/>
      </w:pPr>
      <w:r w:rsidRPr="00AC05BA">
        <w:t>L’</w:t>
      </w:r>
      <w:r w:rsidRPr="00AC05BA">
        <w:rPr>
          <w:b/>
          <w:bCs/>
        </w:rPr>
        <w:t>obligation</w:t>
      </w:r>
      <w:r w:rsidRPr="00AC05BA">
        <w:t xml:space="preserve"> est un titre négociable représentant un droit de créance contre la société émettrice. Les obligations d’une même émission confèrent les mêmes droits de créance pour une même valeur nominale. (</w:t>
      </w:r>
      <w:hyperlink r:id="rId35" w:tooltip="Code de commerce - Article L228-46" w:history="1">
        <w:r w:rsidRPr="00AC05BA">
          <w:rPr>
            <w:rStyle w:val="Lienhypertexte"/>
          </w:rPr>
          <w:t>Légifrance</w:t>
        </w:r>
      </w:hyperlink>
      <w:r w:rsidRPr="00AC05BA">
        <w:t>)</w:t>
      </w:r>
    </w:p>
    <w:p w14:paraId="27BBE94D" w14:textId="77777777" w:rsidR="00AC05BA" w:rsidRPr="00AC05BA" w:rsidRDefault="00AC05BA" w:rsidP="00AC05BA">
      <w:pPr>
        <w:spacing w:after="0" w:line="240" w:lineRule="auto"/>
      </w:pPr>
      <w:r w:rsidRPr="00AC05BA">
        <w:t>L’emprunt obligataire permet à la société d’emprunter auprès d’une pluralité d’investisseurs.</w:t>
      </w:r>
    </w:p>
    <w:p w14:paraId="6EF206B6" w14:textId="77777777" w:rsidR="00AC05BA" w:rsidRPr="00AC05BA" w:rsidRDefault="00AC05BA" w:rsidP="00AC05BA">
      <w:pPr>
        <w:spacing w:after="0" w:line="240" w:lineRule="auto"/>
        <w:rPr>
          <w:b/>
          <w:bCs/>
        </w:rPr>
      </w:pPr>
      <w:r w:rsidRPr="00AC05BA">
        <w:rPr>
          <w:b/>
          <w:bCs/>
        </w:rPr>
        <w:t>Schéma</w:t>
      </w:r>
    </w:p>
    <w:p w14:paraId="6E106960" w14:textId="77777777" w:rsidR="00AC05BA" w:rsidRDefault="00AC05BA" w:rsidP="00AC05BA">
      <w:pPr>
        <w:spacing w:after="0" w:line="240" w:lineRule="auto"/>
      </w:pPr>
      <w:r w:rsidRPr="00AC05BA">
        <w:rPr>
          <w:b/>
          <w:bCs/>
        </w:rPr>
        <w:t>Investisseurs</w:t>
      </w:r>
    </w:p>
    <w:p w14:paraId="5FC6AAEE" w14:textId="77777777" w:rsidR="00AC05BA" w:rsidRDefault="00AC05BA" w:rsidP="00AC05BA">
      <w:pPr>
        <w:spacing w:after="0" w:line="240" w:lineRule="auto"/>
      </w:pPr>
      <w:r w:rsidRPr="00AC05BA">
        <w:t>→ souscrivent les obligations</w:t>
      </w:r>
    </w:p>
    <w:p w14:paraId="6773FF9D" w14:textId="77777777" w:rsidR="00AC05BA" w:rsidRDefault="00AC05BA" w:rsidP="00AC05BA">
      <w:pPr>
        <w:spacing w:after="0" w:line="240" w:lineRule="auto"/>
      </w:pPr>
      <w:r w:rsidRPr="00AC05BA">
        <w:t>→ versent les fonds à la société</w:t>
      </w:r>
    </w:p>
    <w:p w14:paraId="7C6B9500" w14:textId="77777777" w:rsidR="00AC05BA" w:rsidRDefault="00AC05BA" w:rsidP="00AC05BA">
      <w:pPr>
        <w:spacing w:after="0" w:line="240" w:lineRule="auto"/>
      </w:pPr>
      <w:r w:rsidRPr="00AC05BA">
        <w:t>→ deviennent créanciers</w:t>
      </w:r>
    </w:p>
    <w:p w14:paraId="241E86E3" w14:textId="77777777" w:rsidR="00AC05BA" w:rsidRDefault="00AC05BA" w:rsidP="00AC05BA">
      <w:pPr>
        <w:spacing w:after="0" w:line="240" w:lineRule="auto"/>
      </w:pPr>
      <w:r w:rsidRPr="00AC05BA">
        <w:t>→ perçoivent les intérêts prévus</w:t>
      </w:r>
    </w:p>
    <w:p w14:paraId="55F868DB" w14:textId="4640197C" w:rsidR="00AC05BA" w:rsidRPr="00AC05BA" w:rsidRDefault="00AC05BA" w:rsidP="00AC05BA">
      <w:pPr>
        <w:spacing w:after="0" w:line="240" w:lineRule="auto"/>
      </w:pPr>
      <w:r w:rsidRPr="00AC05BA">
        <w:t>→ sont remboursés selon le contrat d’émission.</w:t>
      </w:r>
    </w:p>
    <w:p w14:paraId="35DB7366" w14:textId="77777777" w:rsidR="00AC05BA" w:rsidRPr="00AC05BA" w:rsidRDefault="00AC05BA" w:rsidP="00AC05BA">
      <w:pPr>
        <w:pStyle w:val="Titre1"/>
      </w:pPr>
      <w:r w:rsidRPr="00AC05BA">
        <w:t>21. Le contrat d’émission détermine les caractéristiques de l’emprunt</w:t>
      </w:r>
    </w:p>
    <w:p w14:paraId="3EE6E1BA" w14:textId="0A6DA527" w:rsidR="00AC05BA" w:rsidRPr="00AC05BA" w:rsidRDefault="00AC05BA" w:rsidP="00AC05BA">
      <w:pPr>
        <w:spacing w:after="0" w:line="240" w:lineRule="auto"/>
      </w:pPr>
      <w:r w:rsidRPr="00AC05BA">
        <w:t>L’émission doit notamment permettre d’identifier</w:t>
      </w:r>
      <w:r>
        <w:t> :</w:t>
      </w:r>
    </w:p>
    <w:p w14:paraId="3A6E75F6" w14:textId="35370710" w:rsidR="00AC05BA" w:rsidRPr="00AC05BA" w:rsidRDefault="00AC05BA">
      <w:pPr>
        <w:numPr>
          <w:ilvl w:val="0"/>
          <w:numId w:val="24"/>
        </w:numPr>
        <w:spacing w:after="0" w:line="240" w:lineRule="auto"/>
      </w:pPr>
      <w:r w:rsidRPr="00AC05BA">
        <w:t>montant de l’emprunt</w:t>
      </w:r>
      <w:r>
        <w:t> ;</w:t>
      </w:r>
    </w:p>
    <w:p w14:paraId="3AB02C98" w14:textId="521ED4B9" w:rsidR="00AC05BA" w:rsidRPr="00AC05BA" w:rsidRDefault="00AC05BA">
      <w:pPr>
        <w:numPr>
          <w:ilvl w:val="0"/>
          <w:numId w:val="24"/>
        </w:numPr>
        <w:spacing w:after="0" w:line="240" w:lineRule="auto"/>
      </w:pPr>
      <w:r w:rsidRPr="00AC05BA">
        <w:t>nombre d’obligations</w:t>
      </w:r>
      <w:r>
        <w:t> ;</w:t>
      </w:r>
    </w:p>
    <w:p w14:paraId="13AB8EF9" w14:textId="66C6BF7F" w:rsidR="00AC05BA" w:rsidRPr="00AC05BA" w:rsidRDefault="00AC05BA">
      <w:pPr>
        <w:numPr>
          <w:ilvl w:val="0"/>
          <w:numId w:val="24"/>
        </w:numPr>
        <w:spacing w:after="0" w:line="240" w:lineRule="auto"/>
      </w:pPr>
      <w:r w:rsidRPr="00AC05BA">
        <w:t>valeur nominale</w:t>
      </w:r>
      <w:r>
        <w:t> ;</w:t>
      </w:r>
    </w:p>
    <w:p w14:paraId="3798B26F" w14:textId="214CE4B3" w:rsidR="00AC05BA" w:rsidRPr="00AC05BA" w:rsidRDefault="00AC05BA">
      <w:pPr>
        <w:numPr>
          <w:ilvl w:val="0"/>
          <w:numId w:val="24"/>
        </w:numPr>
        <w:spacing w:after="0" w:line="240" w:lineRule="auto"/>
      </w:pPr>
      <w:r w:rsidRPr="00AC05BA">
        <w:t>conditions de souscription</w:t>
      </w:r>
      <w:r>
        <w:t> ;</w:t>
      </w:r>
    </w:p>
    <w:p w14:paraId="78022D34" w14:textId="5D604988" w:rsidR="00AC05BA" w:rsidRPr="00AC05BA" w:rsidRDefault="00AC05BA">
      <w:pPr>
        <w:numPr>
          <w:ilvl w:val="0"/>
          <w:numId w:val="24"/>
        </w:numPr>
        <w:spacing w:after="0" w:line="240" w:lineRule="auto"/>
      </w:pPr>
      <w:r w:rsidRPr="00AC05BA">
        <w:t>durée</w:t>
      </w:r>
      <w:r>
        <w:t> ;</w:t>
      </w:r>
    </w:p>
    <w:p w14:paraId="068D1EC7" w14:textId="45711FA4" w:rsidR="00AC05BA" w:rsidRPr="00AC05BA" w:rsidRDefault="00AC05BA">
      <w:pPr>
        <w:numPr>
          <w:ilvl w:val="0"/>
          <w:numId w:val="24"/>
        </w:numPr>
        <w:spacing w:after="0" w:line="240" w:lineRule="auto"/>
      </w:pPr>
      <w:r w:rsidRPr="00AC05BA">
        <w:t>taux et modalités de calcul des intérêts</w:t>
      </w:r>
      <w:r>
        <w:t> ;</w:t>
      </w:r>
    </w:p>
    <w:p w14:paraId="6EE26792" w14:textId="3080CB94" w:rsidR="00AC05BA" w:rsidRPr="00AC05BA" w:rsidRDefault="00AC05BA">
      <w:pPr>
        <w:numPr>
          <w:ilvl w:val="0"/>
          <w:numId w:val="24"/>
        </w:numPr>
        <w:spacing w:after="0" w:line="240" w:lineRule="auto"/>
      </w:pPr>
      <w:r w:rsidRPr="00AC05BA">
        <w:t>échéances</w:t>
      </w:r>
      <w:r>
        <w:t> ;</w:t>
      </w:r>
    </w:p>
    <w:p w14:paraId="7EAC3D7A" w14:textId="4905C411" w:rsidR="00AC05BA" w:rsidRPr="00AC05BA" w:rsidRDefault="00AC05BA">
      <w:pPr>
        <w:numPr>
          <w:ilvl w:val="0"/>
          <w:numId w:val="24"/>
        </w:numPr>
        <w:spacing w:after="0" w:line="240" w:lineRule="auto"/>
      </w:pPr>
      <w:r w:rsidRPr="00AC05BA">
        <w:t>conditions de remboursement</w:t>
      </w:r>
      <w:r>
        <w:t> ;</w:t>
      </w:r>
    </w:p>
    <w:p w14:paraId="30BF71D3" w14:textId="77777777" w:rsidR="00AC05BA" w:rsidRPr="00AC05BA" w:rsidRDefault="00AC05BA">
      <w:pPr>
        <w:numPr>
          <w:ilvl w:val="0"/>
          <w:numId w:val="24"/>
        </w:numPr>
        <w:spacing w:after="0" w:line="240" w:lineRule="auto"/>
      </w:pPr>
      <w:r w:rsidRPr="00AC05BA">
        <w:t>garanties éventuelles.</w:t>
      </w:r>
    </w:p>
    <w:p w14:paraId="3B7E72E9" w14:textId="77777777" w:rsidR="00AC05BA" w:rsidRPr="00AC05BA" w:rsidRDefault="00AC05BA" w:rsidP="00AC05BA">
      <w:pPr>
        <w:spacing w:after="0" w:line="240" w:lineRule="auto"/>
        <w:rPr>
          <w:b/>
          <w:bCs/>
        </w:rPr>
      </w:pPr>
      <w:r w:rsidRPr="00AC05BA">
        <w:rPr>
          <w:b/>
          <w:bCs/>
        </w:rPr>
        <w:t>Exemple</w:t>
      </w:r>
    </w:p>
    <w:p w14:paraId="7D0B2484" w14:textId="0D64C931" w:rsidR="00AC05BA" w:rsidRPr="00AC05BA" w:rsidRDefault="00AC05BA" w:rsidP="00AC05BA">
      <w:pPr>
        <w:spacing w:after="0" w:line="240" w:lineRule="auto"/>
      </w:pPr>
      <w:r w:rsidRPr="00AC05BA">
        <w:t>10 000 obligations × 1 000</w:t>
      </w:r>
      <w:r>
        <w:t> € :</w:t>
      </w:r>
    </w:p>
    <w:p w14:paraId="2F84CDEC" w14:textId="52063D3E" w:rsidR="00AC05BA" w:rsidRPr="00AC05BA" w:rsidRDefault="00AC05BA" w:rsidP="00AC05BA">
      <w:pPr>
        <w:spacing w:after="0" w:line="240" w:lineRule="auto"/>
      </w:pPr>
      <w:r w:rsidRPr="00AC05BA">
        <w:rPr>
          <w:b/>
          <w:bCs/>
        </w:rPr>
        <w:t>emprunt obligataire de 10 000 000</w:t>
      </w:r>
      <w:r>
        <w:rPr>
          <w:b/>
          <w:bCs/>
        </w:rPr>
        <w:t> €</w:t>
      </w:r>
    </w:p>
    <w:p w14:paraId="14DC94DA" w14:textId="345F7EC1" w:rsidR="00AC05BA" w:rsidRPr="00AC05BA" w:rsidRDefault="00AC05BA" w:rsidP="00AC05BA">
      <w:pPr>
        <w:spacing w:after="0" w:line="240" w:lineRule="auto"/>
      </w:pPr>
      <w:r w:rsidRPr="00AC05BA">
        <w:t>Le remboursement n’est pas une distribution de bénéfice</w:t>
      </w:r>
      <w:r>
        <w:t> :</w:t>
      </w:r>
      <w:r w:rsidRPr="00AC05BA">
        <w:t xml:space="preserve"> il correspond au remboursement d’une </w:t>
      </w:r>
      <w:r w:rsidRPr="00AC05BA">
        <w:rPr>
          <w:b/>
          <w:bCs/>
        </w:rPr>
        <w:t>dette</w:t>
      </w:r>
      <w:r w:rsidRPr="00AC05BA">
        <w:t>.</w:t>
      </w:r>
    </w:p>
    <w:p w14:paraId="6D4738EC" w14:textId="77777777" w:rsidR="00AC05BA" w:rsidRPr="00AC05BA" w:rsidRDefault="00AC05BA" w:rsidP="00AC05BA">
      <w:pPr>
        <w:pStyle w:val="Titre1"/>
      </w:pPr>
      <w:r w:rsidRPr="00AC05BA">
        <w:t>22. Les sociétés par actions peuvent émettre des obligations sous conditions</w:t>
      </w:r>
    </w:p>
    <w:p w14:paraId="605FABBF" w14:textId="77777777" w:rsidR="00AC05BA" w:rsidRPr="00AC05BA" w:rsidRDefault="00AC05BA" w:rsidP="00AC05BA">
      <w:pPr>
        <w:spacing w:after="0" w:line="240" w:lineRule="auto"/>
      </w:pPr>
      <w:r w:rsidRPr="00AC05BA">
        <w:t>L’émission est en principe interdite lorsque le capital n’est pas intégralement libéré, sous réserve des exceptions légales. (</w:t>
      </w:r>
      <w:hyperlink r:id="rId36" w:tooltip="Article L228-39 - Code de commerce - Légifrance" w:history="1">
        <w:r w:rsidRPr="00AC05BA">
          <w:rPr>
            <w:rStyle w:val="Lienhypertexte"/>
          </w:rPr>
          <w:t>Légifrance</w:t>
        </w:r>
      </w:hyperlink>
      <w:r w:rsidRPr="00AC05BA">
        <w:t>)</w:t>
      </w:r>
    </w:p>
    <w:p w14:paraId="514C9B86" w14:textId="77777777" w:rsidR="00AC05BA" w:rsidRPr="00AC05BA" w:rsidRDefault="00AC05BA" w:rsidP="00AC05BA">
      <w:pPr>
        <w:spacing w:after="0" w:line="240" w:lineRule="auto"/>
      </w:pPr>
      <w:r w:rsidRPr="00AC05BA">
        <w:t>Lorsqu’une société par actions n’a pas encore établi deux bilans régulièrement approuvés, une vérification préalable de la valeur de ses actifs et passifs doit être réalisée par un ou plusieurs commissaires désignés pour cette mission, sauf exceptions prévues par le texte. (</w:t>
      </w:r>
      <w:hyperlink r:id="rId37" w:tooltip="Article L228-39 - Code de commerce - Légifrance" w:history="1">
        <w:r w:rsidRPr="00AC05BA">
          <w:rPr>
            <w:rStyle w:val="Lienhypertexte"/>
          </w:rPr>
          <w:t>Légifrance</w:t>
        </w:r>
      </w:hyperlink>
      <w:r w:rsidRPr="00AC05BA">
        <w:t>)</w:t>
      </w:r>
    </w:p>
    <w:p w14:paraId="02F7350E" w14:textId="77777777" w:rsidR="00AC05BA" w:rsidRPr="00AC05BA" w:rsidRDefault="00AC05BA" w:rsidP="00AC05BA">
      <w:pPr>
        <w:spacing w:after="0" w:line="240" w:lineRule="auto"/>
        <w:rPr>
          <w:b/>
          <w:bCs/>
        </w:rPr>
      </w:pPr>
      <w:r w:rsidRPr="00AC05BA">
        <w:rPr>
          <w:b/>
          <w:bCs/>
        </w:rPr>
        <w:t>Point essentiel</w:t>
      </w:r>
    </w:p>
    <w:p w14:paraId="60BB179A" w14:textId="77777777" w:rsidR="00AC05BA" w:rsidRPr="00AC05BA" w:rsidRDefault="00AC05BA" w:rsidP="00AC05BA">
      <w:pPr>
        <w:spacing w:after="0" w:line="240" w:lineRule="auto"/>
      </w:pPr>
      <w:r w:rsidRPr="00AC05BA">
        <w:t xml:space="preserve">L’ancien enseignement selon lequel une société par actions devait </w:t>
      </w:r>
      <w:r w:rsidRPr="00AC05BA">
        <w:rPr>
          <w:b/>
          <w:bCs/>
        </w:rPr>
        <w:t>nécessairement attendre deux années d’existence</w:t>
      </w:r>
      <w:r w:rsidRPr="00AC05BA">
        <w:t xml:space="preserve"> avant toute émission d’obligations est dépassé.</w:t>
      </w:r>
    </w:p>
    <w:p w14:paraId="04854DA9" w14:textId="77777777" w:rsidR="00AC05BA" w:rsidRPr="00AC05BA" w:rsidRDefault="00AC05BA" w:rsidP="00AC05BA">
      <w:pPr>
        <w:spacing w:after="0" w:line="240" w:lineRule="auto"/>
      </w:pPr>
      <w:r w:rsidRPr="00AC05BA">
        <w:lastRenderedPageBreak/>
        <w:t>Le droit actuel permet l’émission plus tôt, mais impose alors le contrôle particulier prévu par l’article L. 228-39. (</w:t>
      </w:r>
      <w:hyperlink r:id="rId38" w:tooltip="Article L228-39 - Code de commerce - Légifrance" w:history="1">
        <w:r w:rsidRPr="00AC05BA">
          <w:rPr>
            <w:rStyle w:val="Lienhypertexte"/>
          </w:rPr>
          <w:t>Légifrance</w:t>
        </w:r>
      </w:hyperlink>
      <w:r w:rsidRPr="00AC05BA">
        <w:t>)</w:t>
      </w:r>
    </w:p>
    <w:p w14:paraId="0901074B" w14:textId="069F0E62" w:rsidR="00AC05BA" w:rsidRPr="00AC05BA" w:rsidRDefault="00AC05BA" w:rsidP="00AC05BA">
      <w:pPr>
        <w:pStyle w:val="Titre1"/>
      </w:pPr>
      <w:r w:rsidRPr="00AC05BA">
        <w:t>23. Qui décide l’émission obligataire</w:t>
      </w:r>
      <w:r>
        <w:t> ?</w:t>
      </w:r>
    </w:p>
    <w:p w14:paraId="078172E2" w14:textId="4A4627B9" w:rsidR="00AC05BA" w:rsidRPr="00AC05BA" w:rsidRDefault="00AC05BA" w:rsidP="00AC05BA">
      <w:pPr>
        <w:spacing w:after="0" w:line="240" w:lineRule="auto"/>
      </w:pPr>
      <w:r w:rsidRPr="00AC05BA">
        <w:t xml:space="preserve">Dans les sociétés par actions, le </w:t>
      </w:r>
      <w:r w:rsidRPr="00AC05BA">
        <w:rPr>
          <w:b/>
          <w:bCs/>
        </w:rPr>
        <w:t>conseil d’administration, le directoire ou le ou les gérants</w:t>
      </w:r>
      <w:r w:rsidRPr="00AC05BA">
        <w:t>, selon la structure, ont qualité pour décider ou autoriser l’émission, sauf si</w:t>
      </w:r>
      <w:r>
        <w:t> :</w:t>
      </w:r>
    </w:p>
    <w:p w14:paraId="0C210925" w14:textId="0E20C4D1" w:rsidR="00AC05BA" w:rsidRPr="00AC05BA" w:rsidRDefault="00AC05BA">
      <w:pPr>
        <w:numPr>
          <w:ilvl w:val="0"/>
          <w:numId w:val="25"/>
        </w:numPr>
        <w:spacing w:after="0" w:line="240" w:lineRule="auto"/>
      </w:pPr>
      <w:r w:rsidRPr="00AC05BA">
        <w:t>les statuts réservent ce pouvoir à l’assemblée générale</w:t>
      </w:r>
      <w:r>
        <w:t> ;</w:t>
      </w:r>
    </w:p>
    <w:p w14:paraId="6A687707" w14:textId="77777777" w:rsidR="00AC05BA" w:rsidRPr="00AC05BA" w:rsidRDefault="00AC05BA">
      <w:pPr>
        <w:numPr>
          <w:ilvl w:val="0"/>
          <w:numId w:val="25"/>
        </w:numPr>
        <w:spacing w:after="0" w:line="240" w:lineRule="auto"/>
      </w:pPr>
      <w:r w:rsidRPr="00AC05BA">
        <w:t>ou l’assemblée décide elle-même de l’exercer. (</w:t>
      </w:r>
      <w:hyperlink r:id="rId39" w:tooltip="Code de commerce - Article L228-40" w:history="1">
        <w:r w:rsidRPr="00AC05BA">
          <w:rPr>
            <w:rStyle w:val="Lienhypertexte"/>
          </w:rPr>
          <w:t>Légifrance</w:t>
        </w:r>
      </w:hyperlink>
      <w:r w:rsidRPr="00AC05BA">
        <w:t>)</w:t>
      </w:r>
    </w:p>
    <w:p w14:paraId="44AB3649" w14:textId="77777777" w:rsidR="00AC05BA" w:rsidRPr="00AC05BA" w:rsidRDefault="00AC05BA" w:rsidP="00AC05BA">
      <w:pPr>
        <w:spacing w:after="0" w:line="240" w:lineRule="auto"/>
      </w:pPr>
      <w:r w:rsidRPr="00AC05BA">
        <w:t>Le conseil ou le directoire peut déléguer les pouvoirs nécessaires pour réaliser l’émission et en arrêter les modalités dans le délai légal. (</w:t>
      </w:r>
      <w:hyperlink r:id="rId40" w:tooltip="Sous-Section 2 : Des obligations. (Articles L228-38 à ..." w:history="1">
        <w:r w:rsidRPr="00AC05BA">
          <w:rPr>
            <w:rStyle w:val="Lienhypertexte"/>
          </w:rPr>
          <w:t>Légifrance</w:t>
        </w:r>
      </w:hyperlink>
      <w:r w:rsidRPr="00AC05BA">
        <w:t>)</w:t>
      </w:r>
    </w:p>
    <w:p w14:paraId="774E7A30" w14:textId="77777777" w:rsidR="00AC05BA" w:rsidRPr="00AC05BA" w:rsidRDefault="00AC05BA" w:rsidP="00AC05BA">
      <w:pPr>
        <w:pStyle w:val="Titre1"/>
      </w:pPr>
      <w:r w:rsidRPr="00AC05BA">
        <w:t>24. Une SARL peut également émettre des obligations</w:t>
      </w:r>
    </w:p>
    <w:p w14:paraId="18B28451" w14:textId="77777777" w:rsidR="00AC05BA" w:rsidRPr="00AC05BA" w:rsidRDefault="00AC05BA" w:rsidP="00AC05BA">
      <w:pPr>
        <w:spacing w:after="0" w:line="240" w:lineRule="auto"/>
      </w:pPr>
      <w:r w:rsidRPr="00AC05BA">
        <w:t>L’émission obligataire n’est pas réservée à la SA ou à la SAS.</w:t>
      </w:r>
    </w:p>
    <w:p w14:paraId="138ADB17" w14:textId="32DF8B25" w:rsidR="00AC05BA" w:rsidRPr="00AC05BA" w:rsidRDefault="00AC05BA" w:rsidP="00AC05BA">
      <w:pPr>
        <w:spacing w:after="0" w:line="240" w:lineRule="auto"/>
      </w:pPr>
      <w:r w:rsidRPr="00AC05BA">
        <w:t xml:space="preserve">Une SARL peut émettre des </w:t>
      </w:r>
      <w:r w:rsidRPr="00AC05BA">
        <w:rPr>
          <w:b/>
          <w:bCs/>
        </w:rPr>
        <w:t>obligations nominatives</w:t>
      </w:r>
      <w:r w:rsidRPr="00AC05BA">
        <w:t xml:space="preserve"> si</w:t>
      </w:r>
      <w:r>
        <w:t> :</w:t>
      </w:r>
    </w:p>
    <w:p w14:paraId="5103B5A8" w14:textId="061B038B" w:rsidR="00AC05BA" w:rsidRPr="00AC05BA" w:rsidRDefault="00AC05BA">
      <w:pPr>
        <w:numPr>
          <w:ilvl w:val="0"/>
          <w:numId w:val="26"/>
        </w:numPr>
        <w:spacing w:after="0" w:line="240" w:lineRule="auto"/>
      </w:pPr>
      <w:r w:rsidRPr="00AC05BA">
        <w:t>elle a désigné un commissaire aux comptes</w:t>
      </w:r>
      <w:r>
        <w:t> ;</w:t>
      </w:r>
    </w:p>
    <w:p w14:paraId="165CBFA2" w14:textId="6AC23D86" w:rsidR="00AC05BA" w:rsidRPr="00AC05BA" w:rsidRDefault="00AC05BA">
      <w:pPr>
        <w:numPr>
          <w:ilvl w:val="0"/>
          <w:numId w:val="26"/>
        </w:numPr>
        <w:spacing w:after="0" w:line="240" w:lineRule="auto"/>
      </w:pPr>
      <w:r w:rsidRPr="00AC05BA">
        <w:t xml:space="preserve">les comptes de ses </w:t>
      </w:r>
      <w:r w:rsidRPr="00AC05BA">
        <w:rPr>
          <w:b/>
          <w:bCs/>
        </w:rPr>
        <w:t>trois derniers exercices de douze mois</w:t>
      </w:r>
      <w:r w:rsidRPr="00AC05BA">
        <w:t xml:space="preserve"> ont été régulièrement approuvés</w:t>
      </w:r>
      <w:r>
        <w:t> ;</w:t>
      </w:r>
    </w:p>
    <w:p w14:paraId="7F3055E8" w14:textId="77777777" w:rsidR="00AC05BA" w:rsidRPr="00AC05BA" w:rsidRDefault="00AC05BA">
      <w:pPr>
        <w:numPr>
          <w:ilvl w:val="0"/>
          <w:numId w:val="26"/>
        </w:numPr>
        <w:spacing w:after="0" w:line="240" w:lineRule="auto"/>
      </w:pPr>
      <w:r w:rsidRPr="00AC05BA">
        <w:t>elle respecte les conditions relatives à l’offre prévues par l’article L. 223-11.</w:t>
      </w:r>
    </w:p>
    <w:p w14:paraId="7C5C9DFD" w14:textId="77777777" w:rsidR="00AC05BA" w:rsidRPr="00AC05BA" w:rsidRDefault="00AC05BA" w:rsidP="00AC05BA">
      <w:pPr>
        <w:spacing w:after="0" w:line="240" w:lineRule="auto"/>
      </w:pPr>
      <w:r w:rsidRPr="00AC05BA">
        <w:t>L’émission est décidée par l’assemblée des associés dans les conditions précisées par ce texte. (</w:t>
      </w:r>
      <w:hyperlink r:id="rId41" w:tooltip="Article L223-11 - Code de commerce - Légifrance" w:history="1">
        <w:r w:rsidRPr="00AC05BA">
          <w:rPr>
            <w:rStyle w:val="Lienhypertexte"/>
          </w:rPr>
          <w:t>Légifrance</w:t>
        </w:r>
      </w:hyperlink>
      <w:r w:rsidRPr="00AC05BA">
        <w:t>)</w:t>
      </w:r>
    </w:p>
    <w:p w14:paraId="0825E4BB" w14:textId="77777777" w:rsidR="00AC05BA" w:rsidRPr="00AC05BA" w:rsidRDefault="00AC05BA" w:rsidP="00AC05BA">
      <w:pPr>
        <w:spacing w:after="0" w:line="240" w:lineRule="auto"/>
        <w:rPr>
          <w:b/>
          <w:bCs/>
        </w:rPr>
      </w:pPr>
      <w:r w:rsidRPr="00AC05BA">
        <w:rPr>
          <w:b/>
          <w:bCs/>
        </w:rPr>
        <w:t>Contre-exemple</w:t>
      </w:r>
    </w:p>
    <w:p w14:paraId="30C48A1D" w14:textId="781ED762" w:rsidR="00AC05BA" w:rsidRPr="00AC05BA" w:rsidRDefault="00AC05BA" w:rsidP="00AC05BA">
      <w:pPr>
        <w:spacing w:after="0" w:line="240" w:lineRule="auto"/>
      </w:pPr>
      <w:r>
        <w:t>« </w:t>
      </w:r>
      <w:r w:rsidRPr="00AC05BA">
        <w:t>Une SARL ne peut jamais émettre d’obligations.</w:t>
      </w:r>
      <w:r>
        <w:t> »</w:t>
      </w:r>
    </w:p>
    <w:p w14:paraId="7EF34C81" w14:textId="77777777" w:rsidR="00AC05BA" w:rsidRPr="00AC05BA" w:rsidRDefault="00AC05BA" w:rsidP="00AC05BA">
      <w:pPr>
        <w:spacing w:after="0" w:line="240" w:lineRule="auto"/>
      </w:pPr>
      <w:r w:rsidRPr="00AC05BA">
        <w:rPr>
          <w:b/>
          <w:bCs/>
        </w:rPr>
        <w:t>Faux.</w:t>
      </w:r>
    </w:p>
    <w:p w14:paraId="56CAE620" w14:textId="77777777" w:rsidR="00AC05BA" w:rsidRPr="00AC05BA" w:rsidRDefault="00AC05BA" w:rsidP="00AC05BA">
      <w:pPr>
        <w:spacing w:after="0" w:line="240" w:lineRule="auto"/>
      </w:pPr>
      <w:r w:rsidRPr="00AC05BA">
        <w:t>La possibilité existe, mais elle est nettement plus encadrée que le recours à un simple emprunt bancaire.</w:t>
      </w:r>
    </w:p>
    <w:p w14:paraId="40EB3DCE" w14:textId="77777777" w:rsidR="00AC05BA" w:rsidRPr="00AC05BA" w:rsidRDefault="00AC05BA" w:rsidP="00AC05BA">
      <w:pPr>
        <w:pStyle w:val="Titre1"/>
      </w:pPr>
      <w:r w:rsidRPr="00AC05BA">
        <w:t>25. Les obligataires d’une même émission forment une masse</w:t>
      </w:r>
    </w:p>
    <w:p w14:paraId="1BAEDC0F" w14:textId="77777777" w:rsidR="00AC05BA" w:rsidRPr="00AC05BA" w:rsidRDefault="00AC05BA" w:rsidP="00AC05BA">
      <w:pPr>
        <w:spacing w:after="0" w:line="240" w:lineRule="auto"/>
      </w:pPr>
      <w:r w:rsidRPr="00AC05BA">
        <w:t xml:space="preserve">Les porteurs d’obligations d’une même émission sont regroupés de plein droit en une </w:t>
      </w:r>
      <w:r w:rsidRPr="00AC05BA">
        <w:rPr>
          <w:b/>
          <w:bCs/>
        </w:rPr>
        <w:t>masse</w:t>
      </w:r>
      <w:r w:rsidRPr="00AC05BA">
        <w:t xml:space="preserve"> chargée de défendre leurs intérêts communs. Cette masse bénéficie de la personnalité civile. (</w:t>
      </w:r>
      <w:hyperlink r:id="rId42" w:tooltip="Code de commerce - Article L228-46" w:history="1">
        <w:r w:rsidRPr="00AC05BA">
          <w:rPr>
            <w:rStyle w:val="Lienhypertexte"/>
          </w:rPr>
          <w:t>Légifrance</w:t>
        </w:r>
      </w:hyperlink>
      <w:r w:rsidRPr="00AC05BA">
        <w:t>)</w:t>
      </w:r>
    </w:p>
    <w:p w14:paraId="1E3CE539" w14:textId="5B4F222F" w:rsidR="00AC05BA" w:rsidRPr="00AC05BA" w:rsidRDefault="00AC05BA" w:rsidP="00AC05BA">
      <w:pPr>
        <w:spacing w:after="0" w:line="240" w:lineRule="auto"/>
      </w:pPr>
      <w:r w:rsidRPr="00AC05BA">
        <w:t>Elle dispose notamment</w:t>
      </w:r>
      <w:r>
        <w:t> :</w:t>
      </w:r>
    </w:p>
    <w:p w14:paraId="213270E9" w14:textId="16FE8F18" w:rsidR="00AC05BA" w:rsidRPr="00AC05BA" w:rsidRDefault="00AC05BA">
      <w:pPr>
        <w:numPr>
          <w:ilvl w:val="0"/>
          <w:numId w:val="27"/>
        </w:numPr>
        <w:spacing w:after="0" w:line="240" w:lineRule="auto"/>
      </w:pPr>
      <w:r w:rsidRPr="00AC05BA">
        <w:t>de représentants</w:t>
      </w:r>
      <w:r>
        <w:t> ;</w:t>
      </w:r>
    </w:p>
    <w:p w14:paraId="27224CC6" w14:textId="0A546BDB" w:rsidR="00AC05BA" w:rsidRPr="00AC05BA" w:rsidRDefault="00AC05BA">
      <w:pPr>
        <w:numPr>
          <w:ilvl w:val="0"/>
          <w:numId w:val="27"/>
        </w:numPr>
        <w:spacing w:after="0" w:line="240" w:lineRule="auto"/>
      </w:pPr>
      <w:r w:rsidRPr="00AC05BA">
        <w:t>de mécanismes de décision collective</w:t>
      </w:r>
      <w:r>
        <w:t> ;</w:t>
      </w:r>
    </w:p>
    <w:p w14:paraId="69E80F42" w14:textId="77777777" w:rsidR="00AC05BA" w:rsidRPr="00AC05BA" w:rsidRDefault="00AC05BA">
      <w:pPr>
        <w:numPr>
          <w:ilvl w:val="0"/>
          <w:numId w:val="27"/>
        </w:numPr>
        <w:spacing w:after="0" w:line="240" w:lineRule="auto"/>
      </w:pPr>
      <w:r w:rsidRPr="00AC05BA">
        <w:t>de la possibilité de statuer sur certaines modifications du contrat d’émission.</w:t>
      </w:r>
    </w:p>
    <w:p w14:paraId="069E5430" w14:textId="77777777" w:rsidR="00AC05BA" w:rsidRPr="00AC05BA" w:rsidRDefault="00AC05BA" w:rsidP="00AC05BA">
      <w:pPr>
        <w:spacing w:after="0" w:line="240" w:lineRule="auto"/>
      </w:pPr>
      <w:r w:rsidRPr="00AC05BA">
        <w:t>Les représentants peuvent agir pour défendre les intérêts communs des obligataires. (</w:t>
      </w:r>
      <w:hyperlink r:id="rId43" w:tooltip="Des valeurs mobilières émises par les sociétés par actions. ..." w:history="1">
        <w:r w:rsidRPr="00AC05BA">
          <w:rPr>
            <w:rStyle w:val="Lienhypertexte"/>
          </w:rPr>
          <w:t>Légifrance</w:t>
        </w:r>
      </w:hyperlink>
      <w:r w:rsidRPr="00AC05BA">
        <w:t>)</w:t>
      </w:r>
    </w:p>
    <w:p w14:paraId="0310568F" w14:textId="77777777" w:rsidR="00AC05BA" w:rsidRPr="00AC05BA" w:rsidRDefault="00AC05BA" w:rsidP="00AC05BA">
      <w:pPr>
        <w:spacing w:after="0" w:line="240" w:lineRule="auto"/>
        <w:rPr>
          <w:b/>
          <w:bCs/>
        </w:rPr>
      </w:pPr>
      <w:r w:rsidRPr="00AC05BA">
        <w:rPr>
          <w:b/>
          <w:bCs/>
        </w:rPr>
        <w:t>Point essentiel</w:t>
      </w:r>
    </w:p>
    <w:p w14:paraId="24D56A5E" w14:textId="60DC4469" w:rsidR="00AC05BA" w:rsidRPr="00AC05BA" w:rsidRDefault="00AC05BA" w:rsidP="00AC05BA">
      <w:pPr>
        <w:spacing w:after="0" w:line="240" w:lineRule="auto"/>
      </w:pPr>
      <w:r w:rsidRPr="00AC05BA">
        <w:t>L’obligataire</w:t>
      </w:r>
      <w:r>
        <w:t> :</w:t>
      </w:r>
    </w:p>
    <w:p w14:paraId="2A5E5764" w14:textId="01B07288" w:rsidR="00AC05BA" w:rsidRPr="00AC05BA" w:rsidRDefault="00AC05BA">
      <w:pPr>
        <w:numPr>
          <w:ilvl w:val="0"/>
          <w:numId w:val="28"/>
        </w:numPr>
        <w:spacing w:after="0" w:line="240" w:lineRule="auto"/>
      </w:pPr>
      <w:r w:rsidRPr="00AC05BA">
        <w:t>reste un créancier individuel</w:t>
      </w:r>
      <w:r>
        <w:t> ;</w:t>
      </w:r>
    </w:p>
    <w:p w14:paraId="004B6D80" w14:textId="77777777" w:rsidR="00AC05BA" w:rsidRPr="00AC05BA" w:rsidRDefault="00AC05BA">
      <w:pPr>
        <w:numPr>
          <w:ilvl w:val="0"/>
          <w:numId w:val="28"/>
        </w:numPr>
        <w:spacing w:after="0" w:line="240" w:lineRule="auto"/>
      </w:pPr>
      <w:r w:rsidRPr="00AC05BA">
        <w:t>mais certains intérêts communs liés à l’émission sont défendus collectivement par la masse.</w:t>
      </w:r>
    </w:p>
    <w:p w14:paraId="68B476A1" w14:textId="77777777" w:rsidR="00AC05BA" w:rsidRPr="00AC05BA" w:rsidRDefault="00AC05BA" w:rsidP="00AC05BA">
      <w:pPr>
        <w:pStyle w:val="Titre1"/>
      </w:pPr>
      <w:r w:rsidRPr="00AC05BA">
        <w:t>26. Capital et emprunt obligataire répondent à des logiques différentes</w:t>
      </w:r>
    </w:p>
    <w:tbl>
      <w:tblPr>
        <w:tblStyle w:val="Grilledutableau"/>
        <w:tblW w:w="0" w:type="auto"/>
        <w:tblLook w:val="04A0" w:firstRow="1" w:lastRow="0" w:firstColumn="1" w:lastColumn="0" w:noHBand="0" w:noVBand="1"/>
      </w:tblPr>
      <w:tblGrid>
        <w:gridCol w:w="2657"/>
        <w:gridCol w:w="2850"/>
        <w:gridCol w:w="4447"/>
      </w:tblGrid>
      <w:tr w:rsidR="00AC05BA" w:rsidRPr="00AC05BA" w14:paraId="39C8CA5A" w14:textId="77777777" w:rsidTr="00AC05BA">
        <w:trPr>
          <w:tblHeader/>
        </w:trPr>
        <w:tc>
          <w:tcPr>
            <w:tcW w:w="0" w:type="auto"/>
            <w:hideMark/>
          </w:tcPr>
          <w:p w14:paraId="6E37E1FE" w14:textId="77777777" w:rsidR="00AC05BA" w:rsidRPr="00AC05BA" w:rsidRDefault="00AC05BA" w:rsidP="00AC05BA">
            <w:pPr>
              <w:jc w:val="left"/>
              <w:rPr>
                <w:rFonts w:ascii="Calibri" w:hAnsi="Calibri" w:cs="Calibri"/>
                <w:b/>
                <w:bCs/>
                <w:sz w:val="20"/>
              </w:rPr>
            </w:pPr>
            <w:r w:rsidRPr="00AC05BA">
              <w:rPr>
                <w:rFonts w:ascii="Calibri" w:hAnsi="Calibri" w:cs="Calibri"/>
                <w:b/>
                <w:bCs/>
                <w:sz w:val="20"/>
              </w:rPr>
              <w:lastRenderedPageBreak/>
              <w:t>Critère</w:t>
            </w:r>
          </w:p>
        </w:tc>
        <w:tc>
          <w:tcPr>
            <w:tcW w:w="0" w:type="auto"/>
            <w:hideMark/>
          </w:tcPr>
          <w:p w14:paraId="70E5BDE3" w14:textId="77777777" w:rsidR="00AC05BA" w:rsidRPr="00AC05BA" w:rsidRDefault="00AC05BA" w:rsidP="00AC05BA">
            <w:pPr>
              <w:jc w:val="left"/>
              <w:rPr>
                <w:rFonts w:ascii="Calibri" w:hAnsi="Calibri" w:cs="Calibri"/>
                <w:b/>
                <w:bCs/>
                <w:sz w:val="20"/>
              </w:rPr>
            </w:pPr>
            <w:r w:rsidRPr="00AC05BA">
              <w:rPr>
                <w:rFonts w:ascii="Calibri" w:hAnsi="Calibri" w:cs="Calibri"/>
                <w:b/>
                <w:bCs/>
                <w:sz w:val="20"/>
              </w:rPr>
              <w:t>Augmentation de capital</w:t>
            </w:r>
          </w:p>
        </w:tc>
        <w:tc>
          <w:tcPr>
            <w:tcW w:w="0" w:type="auto"/>
            <w:hideMark/>
          </w:tcPr>
          <w:p w14:paraId="38B2ADF8" w14:textId="77777777" w:rsidR="00AC05BA" w:rsidRPr="00AC05BA" w:rsidRDefault="00AC05BA" w:rsidP="00AC05BA">
            <w:pPr>
              <w:jc w:val="left"/>
              <w:rPr>
                <w:rFonts w:ascii="Calibri" w:hAnsi="Calibri" w:cs="Calibri"/>
                <w:b/>
                <w:bCs/>
                <w:sz w:val="20"/>
              </w:rPr>
            </w:pPr>
            <w:r w:rsidRPr="00AC05BA">
              <w:rPr>
                <w:rFonts w:ascii="Calibri" w:hAnsi="Calibri" w:cs="Calibri"/>
                <w:b/>
                <w:bCs/>
                <w:sz w:val="20"/>
              </w:rPr>
              <w:t>Emprunt obligataire</w:t>
            </w:r>
          </w:p>
        </w:tc>
      </w:tr>
      <w:tr w:rsidR="00AC05BA" w:rsidRPr="00AC05BA" w14:paraId="2FC4334F" w14:textId="77777777" w:rsidTr="00AC05BA">
        <w:tc>
          <w:tcPr>
            <w:tcW w:w="0" w:type="auto"/>
            <w:hideMark/>
          </w:tcPr>
          <w:p w14:paraId="6707AE91" w14:textId="77777777" w:rsidR="00AC05BA" w:rsidRPr="00AC05BA" w:rsidRDefault="00AC05BA" w:rsidP="00AC05BA">
            <w:pPr>
              <w:jc w:val="left"/>
              <w:rPr>
                <w:rFonts w:ascii="Calibri" w:hAnsi="Calibri" w:cs="Calibri"/>
                <w:sz w:val="20"/>
              </w:rPr>
            </w:pPr>
            <w:r w:rsidRPr="00AC05BA">
              <w:rPr>
                <w:rFonts w:ascii="Calibri" w:hAnsi="Calibri" w:cs="Calibri"/>
                <w:sz w:val="20"/>
              </w:rPr>
              <w:t>Financeur</w:t>
            </w:r>
          </w:p>
        </w:tc>
        <w:tc>
          <w:tcPr>
            <w:tcW w:w="0" w:type="auto"/>
            <w:hideMark/>
          </w:tcPr>
          <w:p w14:paraId="2CC0E2A5" w14:textId="77777777" w:rsidR="00AC05BA" w:rsidRPr="00AC05BA" w:rsidRDefault="00AC05BA" w:rsidP="00AC05BA">
            <w:pPr>
              <w:jc w:val="left"/>
              <w:rPr>
                <w:rFonts w:ascii="Calibri" w:hAnsi="Calibri" w:cs="Calibri"/>
                <w:sz w:val="20"/>
              </w:rPr>
            </w:pPr>
            <w:r w:rsidRPr="00AC05BA">
              <w:rPr>
                <w:rFonts w:ascii="Calibri" w:hAnsi="Calibri" w:cs="Calibri"/>
                <w:sz w:val="20"/>
              </w:rPr>
              <w:t>Associé/actionnaire</w:t>
            </w:r>
          </w:p>
        </w:tc>
        <w:tc>
          <w:tcPr>
            <w:tcW w:w="0" w:type="auto"/>
            <w:hideMark/>
          </w:tcPr>
          <w:p w14:paraId="7EC391FB" w14:textId="77777777" w:rsidR="00AC05BA" w:rsidRPr="00AC05BA" w:rsidRDefault="00AC05BA" w:rsidP="00AC05BA">
            <w:pPr>
              <w:jc w:val="left"/>
              <w:rPr>
                <w:rFonts w:ascii="Calibri" w:hAnsi="Calibri" w:cs="Calibri"/>
                <w:sz w:val="20"/>
              </w:rPr>
            </w:pPr>
            <w:r w:rsidRPr="00AC05BA">
              <w:rPr>
                <w:rFonts w:ascii="Calibri" w:hAnsi="Calibri" w:cs="Calibri"/>
                <w:sz w:val="20"/>
              </w:rPr>
              <w:t>Créancier</w:t>
            </w:r>
          </w:p>
        </w:tc>
      </w:tr>
      <w:tr w:rsidR="00AC05BA" w:rsidRPr="00AC05BA" w14:paraId="692C1112" w14:textId="77777777" w:rsidTr="00AC05BA">
        <w:tc>
          <w:tcPr>
            <w:tcW w:w="0" w:type="auto"/>
            <w:hideMark/>
          </w:tcPr>
          <w:p w14:paraId="14F1318C" w14:textId="77777777" w:rsidR="00AC05BA" w:rsidRPr="00AC05BA" w:rsidRDefault="00AC05BA" w:rsidP="00AC05BA">
            <w:pPr>
              <w:jc w:val="left"/>
              <w:rPr>
                <w:rFonts w:ascii="Calibri" w:hAnsi="Calibri" w:cs="Calibri"/>
                <w:sz w:val="20"/>
              </w:rPr>
            </w:pPr>
            <w:r w:rsidRPr="00AC05BA">
              <w:rPr>
                <w:rFonts w:ascii="Calibri" w:hAnsi="Calibri" w:cs="Calibri"/>
                <w:sz w:val="20"/>
              </w:rPr>
              <w:t>Ressource</w:t>
            </w:r>
          </w:p>
        </w:tc>
        <w:tc>
          <w:tcPr>
            <w:tcW w:w="0" w:type="auto"/>
            <w:hideMark/>
          </w:tcPr>
          <w:p w14:paraId="04068528" w14:textId="77777777" w:rsidR="00AC05BA" w:rsidRPr="00AC05BA" w:rsidRDefault="00AC05BA" w:rsidP="00AC05BA">
            <w:pPr>
              <w:jc w:val="left"/>
              <w:rPr>
                <w:rFonts w:ascii="Calibri" w:hAnsi="Calibri" w:cs="Calibri"/>
                <w:sz w:val="20"/>
              </w:rPr>
            </w:pPr>
            <w:r w:rsidRPr="00AC05BA">
              <w:rPr>
                <w:rFonts w:ascii="Calibri" w:hAnsi="Calibri" w:cs="Calibri"/>
                <w:sz w:val="20"/>
              </w:rPr>
              <w:t>Capitaux propres</w:t>
            </w:r>
          </w:p>
        </w:tc>
        <w:tc>
          <w:tcPr>
            <w:tcW w:w="0" w:type="auto"/>
            <w:hideMark/>
          </w:tcPr>
          <w:p w14:paraId="092EF2FA" w14:textId="77777777" w:rsidR="00AC05BA" w:rsidRPr="00AC05BA" w:rsidRDefault="00AC05BA" w:rsidP="00AC05BA">
            <w:pPr>
              <w:jc w:val="left"/>
              <w:rPr>
                <w:rFonts w:ascii="Calibri" w:hAnsi="Calibri" w:cs="Calibri"/>
                <w:sz w:val="20"/>
              </w:rPr>
            </w:pPr>
            <w:r w:rsidRPr="00AC05BA">
              <w:rPr>
                <w:rFonts w:ascii="Calibri" w:hAnsi="Calibri" w:cs="Calibri"/>
                <w:sz w:val="20"/>
              </w:rPr>
              <w:t>Dette</w:t>
            </w:r>
          </w:p>
        </w:tc>
      </w:tr>
      <w:tr w:rsidR="00AC05BA" w:rsidRPr="00AC05BA" w14:paraId="6BF747E0" w14:textId="77777777" w:rsidTr="00AC05BA">
        <w:tc>
          <w:tcPr>
            <w:tcW w:w="0" w:type="auto"/>
            <w:hideMark/>
          </w:tcPr>
          <w:p w14:paraId="5A97DED7" w14:textId="77777777" w:rsidR="00AC05BA" w:rsidRPr="00AC05BA" w:rsidRDefault="00AC05BA" w:rsidP="00AC05BA">
            <w:pPr>
              <w:jc w:val="left"/>
              <w:rPr>
                <w:rFonts w:ascii="Calibri" w:hAnsi="Calibri" w:cs="Calibri"/>
                <w:sz w:val="20"/>
              </w:rPr>
            </w:pPr>
            <w:r w:rsidRPr="00AC05BA">
              <w:rPr>
                <w:rFonts w:ascii="Calibri" w:hAnsi="Calibri" w:cs="Calibri"/>
                <w:sz w:val="20"/>
              </w:rPr>
              <w:t>Remboursement à échéance</w:t>
            </w:r>
          </w:p>
        </w:tc>
        <w:tc>
          <w:tcPr>
            <w:tcW w:w="0" w:type="auto"/>
            <w:hideMark/>
          </w:tcPr>
          <w:p w14:paraId="0F4CCF40" w14:textId="77777777" w:rsidR="00AC05BA" w:rsidRPr="00AC05BA" w:rsidRDefault="00AC05BA" w:rsidP="00AC05BA">
            <w:pPr>
              <w:jc w:val="left"/>
              <w:rPr>
                <w:rFonts w:ascii="Calibri" w:hAnsi="Calibri" w:cs="Calibri"/>
                <w:sz w:val="20"/>
              </w:rPr>
            </w:pPr>
            <w:r w:rsidRPr="00AC05BA">
              <w:rPr>
                <w:rFonts w:ascii="Calibri" w:hAnsi="Calibri" w:cs="Calibri"/>
                <w:sz w:val="20"/>
              </w:rPr>
              <w:t>Non en principe</w:t>
            </w:r>
          </w:p>
        </w:tc>
        <w:tc>
          <w:tcPr>
            <w:tcW w:w="0" w:type="auto"/>
            <w:hideMark/>
          </w:tcPr>
          <w:p w14:paraId="10B7885E" w14:textId="77777777" w:rsidR="00AC05BA" w:rsidRPr="00AC05BA" w:rsidRDefault="00AC05BA" w:rsidP="00AC05BA">
            <w:pPr>
              <w:jc w:val="left"/>
              <w:rPr>
                <w:rFonts w:ascii="Calibri" w:hAnsi="Calibri" w:cs="Calibri"/>
                <w:sz w:val="20"/>
              </w:rPr>
            </w:pPr>
            <w:r w:rsidRPr="00AC05BA">
              <w:rPr>
                <w:rFonts w:ascii="Calibri" w:hAnsi="Calibri" w:cs="Calibri"/>
                <w:sz w:val="20"/>
              </w:rPr>
              <w:t>Oui</w:t>
            </w:r>
          </w:p>
        </w:tc>
      </w:tr>
      <w:tr w:rsidR="00AC05BA" w:rsidRPr="00AC05BA" w14:paraId="5CFB78CE" w14:textId="77777777" w:rsidTr="00AC05BA">
        <w:tc>
          <w:tcPr>
            <w:tcW w:w="0" w:type="auto"/>
            <w:hideMark/>
          </w:tcPr>
          <w:p w14:paraId="088D5264" w14:textId="77777777" w:rsidR="00AC05BA" w:rsidRPr="00AC05BA" w:rsidRDefault="00AC05BA" w:rsidP="00AC05BA">
            <w:pPr>
              <w:jc w:val="left"/>
              <w:rPr>
                <w:rFonts w:ascii="Calibri" w:hAnsi="Calibri" w:cs="Calibri"/>
                <w:sz w:val="20"/>
              </w:rPr>
            </w:pPr>
            <w:r w:rsidRPr="00AC05BA">
              <w:rPr>
                <w:rFonts w:ascii="Calibri" w:hAnsi="Calibri" w:cs="Calibri"/>
                <w:sz w:val="20"/>
              </w:rPr>
              <w:t>Intérêts obligatoires</w:t>
            </w:r>
          </w:p>
        </w:tc>
        <w:tc>
          <w:tcPr>
            <w:tcW w:w="0" w:type="auto"/>
            <w:hideMark/>
          </w:tcPr>
          <w:p w14:paraId="309E7D1A" w14:textId="77777777" w:rsidR="00AC05BA" w:rsidRPr="00AC05BA" w:rsidRDefault="00AC05BA" w:rsidP="00AC05BA">
            <w:pPr>
              <w:jc w:val="left"/>
              <w:rPr>
                <w:rFonts w:ascii="Calibri" w:hAnsi="Calibri" w:cs="Calibri"/>
                <w:sz w:val="20"/>
              </w:rPr>
            </w:pPr>
            <w:r w:rsidRPr="00AC05BA">
              <w:rPr>
                <w:rFonts w:ascii="Calibri" w:hAnsi="Calibri" w:cs="Calibri"/>
                <w:sz w:val="20"/>
              </w:rPr>
              <w:t>Non</w:t>
            </w:r>
          </w:p>
        </w:tc>
        <w:tc>
          <w:tcPr>
            <w:tcW w:w="0" w:type="auto"/>
            <w:hideMark/>
          </w:tcPr>
          <w:p w14:paraId="4B321FD1" w14:textId="77777777" w:rsidR="00AC05BA" w:rsidRPr="00AC05BA" w:rsidRDefault="00AC05BA" w:rsidP="00AC05BA">
            <w:pPr>
              <w:jc w:val="left"/>
              <w:rPr>
                <w:rFonts w:ascii="Calibri" w:hAnsi="Calibri" w:cs="Calibri"/>
                <w:sz w:val="20"/>
              </w:rPr>
            </w:pPr>
            <w:r w:rsidRPr="00AC05BA">
              <w:rPr>
                <w:rFonts w:ascii="Calibri" w:hAnsi="Calibri" w:cs="Calibri"/>
                <w:sz w:val="20"/>
              </w:rPr>
              <w:t>Selon contrat d’émission</w:t>
            </w:r>
          </w:p>
        </w:tc>
      </w:tr>
      <w:tr w:rsidR="00AC05BA" w:rsidRPr="00AC05BA" w14:paraId="45DB5429" w14:textId="77777777" w:rsidTr="00AC05BA">
        <w:tc>
          <w:tcPr>
            <w:tcW w:w="0" w:type="auto"/>
            <w:hideMark/>
          </w:tcPr>
          <w:p w14:paraId="3656558C" w14:textId="77777777" w:rsidR="00AC05BA" w:rsidRPr="00AC05BA" w:rsidRDefault="00AC05BA" w:rsidP="00AC05BA">
            <w:pPr>
              <w:jc w:val="left"/>
              <w:rPr>
                <w:rFonts w:ascii="Calibri" w:hAnsi="Calibri" w:cs="Calibri"/>
                <w:sz w:val="20"/>
              </w:rPr>
            </w:pPr>
            <w:r w:rsidRPr="00AC05BA">
              <w:rPr>
                <w:rFonts w:ascii="Calibri" w:hAnsi="Calibri" w:cs="Calibri"/>
                <w:sz w:val="20"/>
              </w:rPr>
              <w:t>Dividende</w:t>
            </w:r>
          </w:p>
        </w:tc>
        <w:tc>
          <w:tcPr>
            <w:tcW w:w="0" w:type="auto"/>
            <w:hideMark/>
          </w:tcPr>
          <w:p w14:paraId="291CA61D" w14:textId="77777777" w:rsidR="00AC05BA" w:rsidRPr="00AC05BA" w:rsidRDefault="00AC05BA" w:rsidP="00AC05BA">
            <w:pPr>
              <w:jc w:val="left"/>
              <w:rPr>
                <w:rFonts w:ascii="Calibri" w:hAnsi="Calibri" w:cs="Calibri"/>
                <w:sz w:val="20"/>
              </w:rPr>
            </w:pPr>
            <w:r w:rsidRPr="00AC05BA">
              <w:rPr>
                <w:rFonts w:ascii="Calibri" w:hAnsi="Calibri" w:cs="Calibri"/>
                <w:sz w:val="20"/>
              </w:rPr>
              <w:t>Possible si décidé et distribuable</w:t>
            </w:r>
          </w:p>
        </w:tc>
        <w:tc>
          <w:tcPr>
            <w:tcW w:w="0" w:type="auto"/>
            <w:hideMark/>
          </w:tcPr>
          <w:p w14:paraId="4B1D8099" w14:textId="77777777" w:rsidR="00AC05BA" w:rsidRPr="00AC05BA" w:rsidRDefault="00AC05BA" w:rsidP="00AC05BA">
            <w:pPr>
              <w:jc w:val="left"/>
              <w:rPr>
                <w:rFonts w:ascii="Calibri" w:hAnsi="Calibri" w:cs="Calibri"/>
                <w:sz w:val="20"/>
              </w:rPr>
            </w:pPr>
            <w:r w:rsidRPr="00AC05BA">
              <w:rPr>
                <w:rFonts w:ascii="Calibri" w:hAnsi="Calibri" w:cs="Calibri"/>
                <w:sz w:val="20"/>
              </w:rPr>
              <w:t>Sans objet</w:t>
            </w:r>
          </w:p>
        </w:tc>
      </w:tr>
      <w:tr w:rsidR="00AC05BA" w:rsidRPr="00AC05BA" w14:paraId="0C65169A" w14:textId="77777777" w:rsidTr="00AC05BA">
        <w:tc>
          <w:tcPr>
            <w:tcW w:w="0" w:type="auto"/>
            <w:hideMark/>
          </w:tcPr>
          <w:p w14:paraId="0A3875ED" w14:textId="77777777" w:rsidR="00AC05BA" w:rsidRPr="00AC05BA" w:rsidRDefault="00AC05BA" w:rsidP="00AC05BA">
            <w:pPr>
              <w:jc w:val="left"/>
              <w:rPr>
                <w:rFonts w:ascii="Calibri" w:hAnsi="Calibri" w:cs="Calibri"/>
                <w:sz w:val="20"/>
              </w:rPr>
            </w:pPr>
            <w:r w:rsidRPr="00AC05BA">
              <w:rPr>
                <w:rFonts w:ascii="Calibri" w:hAnsi="Calibri" w:cs="Calibri"/>
                <w:sz w:val="20"/>
              </w:rPr>
              <w:t>Droit de vote</w:t>
            </w:r>
          </w:p>
        </w:tc>
        <w:tc>
          <w:tcPr>
            <w:tcW w:w="0" w:type="auto"/>
            <w:hideMark/>
          </w:tcPr>
          <w:p w14:paraId="3310AE16" w14:textId="77777777" w:rsidR="00AC05BA" w:rsidRPr="00AC05BA" w:rsidRDefault="00AC05BA" w:rsidP="00AC05BA">
            <w:pPr>
              <w:jc w:val="left"/>
              <w:rPr>
                <w:rFonts w:ascii="Calibri" w:hAnsi="Calibri" w:cs="Calibri"/>
                <w:sz w:val="20"/>
              </w:rPr>
            </w:pPr>
            <w:r w:rsidRPr="00AC05BA">
              <w:rPr>
                <w:rFonts w:ascii="Calibri" w:hAnsi="Calibri" w:cs="Calibri"/>
                <w:sz w:val="20"/>
              </w:rPr>
              <w:t>Selon titre</w:t>
            </w:r>
          </w:p>
        </w:tc>
        <w:tc>
          <w:tcPr>
            <w:tcW w:w="0" w:type="auto"/>
            <w:hideMark/>
          </w:tcPr>
          <w:p w14:paraId="21F3432F" w14:textId="77777777" w:rsidR="00AC05BA" w:rsidRPr="00AC05BA" w:rsidRDefault="00AC05BA" w:rsidP="00AC05BA">
            <w:pPr>
              <w:jc w:val="left"/>
              <w:rPr>
                <w:rFonts w:ascii="Calibri" w:hAnsi="Calibri" w:cs="Calibri"/>
                <w:sz w:val="20"/>
              </w:rPr>
            </w:pPr>
            <w:r w:rsidRPr="00AC05BA">
              <w:rPr>
                <w:rFonts w:ascii="Calibri" w:hAnsi="Calibri" w:cs="Calibri"/>
                <w:sz w:val="20"/>
              </w:rPr>
              <w:t>Aucun droit de vote social du seul fait de l’obligation</w:t>
            </w:r>
          </w:p>
        </w:tc>
      </w:tr>
      <w:tr w:rsidR="00AC05BA" w:rsidRPr="00AC05BA" w14:paraId="777268F9" w14:textId="77777777" w:rsidTr="00AC05BA">
        <w:tc>
          <w:tcPr>
            <w:tcW w:w="0" w:type="auto"/>
            <w:hideMark/>
          </w:tcPr>
          <w:p w14:paraId="1D20D216" w14:textId="77777777" w:rsidR="00AC05BA" w:rsidRPr="00AC05BA" w:rsidRDefault="00AC05BA" w:rsidP="00AC05BA">
            <w:pPr>
              <w:jc w:val="left"/>
              <w:rPr>
                <w:rFonts w:ascii="Calibri" w:hAnsi="Calibri" w:cs="Calibri"/>
                <w:sz w:val="20"/>
              </w:rPr>
            </w:pPr>
            <w:r w:rsidRPr="00AC05BA">
              <w:rPr>
                <w:rFonts w:ascii="Calibri" w:hAnsi="Calibri" w:cs="Calibri"/>
                <w:sz w:val="20"/>
              </w:rPr>
              <w:t>Dilution des associés existants</w:t>
            </w:r>
          </w:p>
        </w:tc>
        <w:tc>
          <w:tcPr>
            <w:tcW w:w="0" w:type="auto"/>
            <w:hideMark/>
          </w:tcPr>
          <w:p w14:paraId="0F285C0E" w14:textId="77777777" w:rsidR="00AC05BA" w:rsidRPr="00AC05BA" w:rsidRDefault="00AC05BA" w:rsidP="00AC05BA">
            <w:pPr>
              <w:jc w:val="left"/>
              <w:rPr>
                <w:rFonts w:ascii="Calibri" w:hAnsi="Calibri" w:cs="Calibri"/>
                <w:sz w:val="20"/>
              </w:rPr>
            </w:pPr>
            <w:r w:rsidRPr="00AC05BA">
              <w:rPr>
                <w:rFonts w:ascii="Calibri" w:hAnsi="Calibri" w:cs="Calibri"/>
                <w:sz w:val="20"/>
              </w:rPr>
              <w:t>Possible</w:t>
            </w:r>
          </w:p>
        </w:tc>
        <w:tc>
          <w:tcPr>
            <w:tcW w:w="0" w:type="auto"/>
            <w:hideMark/>
          </w:tcPr>
          <w:p w14:paraId="1A603232" w14:textId="77777777" w:rsidR="00AC05BA" w:rsidRPr="00AC05BA" w:rsidRDefault="00AC05BA" w:rsidP="00AC05BA">
            <w:pPr>
              <w:jc w:val="left"/>
              <w:rPr>
                <w:rFonts w:ascii="Calibri" w:hAnsi="Calibri" w:cs="Calibri"/>
                <w:sz w:val="20"/>
              </w:rPr>
            </w:pPr>
            <w:r w:rsidRPr="00AC05BA">
              <w:rPr>
                <w:rFonts w:ascii="Calibri" w:hAnsi="Calibri" w:cs="Calibri"/>
                <w:sz w:val="20"/>
              </w:rPr>
              <w:t>Non</w:t>
            </w:r>
          </w:p>
        </w:tc>
      </w:tr>
      <w:tr w:rsidR="00AC05BA" w:rsidRPr="00AC05BA" w14:paraId="69E8BB23" w14:textId="77777777" w:rsidTr="00AC05BA">
        <w:tc>
          <w:tcPr>
            <w:tcW w:w="0" w:type="auto"/>
            <w:hideMark/>
          </w:tcPr>
          <w:p w14:paraId="7B321D3A" w14:textId="77777777" w:rsidR="00AC05BA" w:rsidRPr="00AC05BA" w:rsidRDefault="00AC05BA" w:rsidP="00AC05BA">
            <w:pPr>
              <w:jc w:val="left"/>
              <w:rPr>
                <w:rFonts w:ascii="Calibri" w:hAnsi="Calibri" w:cs="Calibri"/>
                <w:sz w:val="20"/>
              </w:rPr>
            </w:pPr>
            <w:r w:rsidRPr="00AC05BA">
              <w:rPr>
                <w:rFonts w:ascii="Calibri" w:hAnsi="Calibri" w:cs="Calibri"/>
                <w:sz w:val="20"/>
              </w:rPr>
              <w:t>Endettement</w:t>
            </w:r>
          </w:p>
        </w:tc>
        <w:tc>
          <w:tcPr>
            <w:tcW w:w="0" w:type="auto"/>
            <w:hideMark/>
          </w:tcPr>
          <w:p w14:paraId="4C98352D" w14:textId="77777777" w:rsidR="00AC05BA" w:rsidRPr="00AC05BA" w:rsidRDefault="00AC05BA" w:rsidP="00AC05BA">
            <w:pPr>
              <w:jc w:val="left"/>
              <w:rPr>
                <w:rFonts w:ascii="Calibri" w:hAnsi="Calibri" w:cs="Calibri"/>
                <w:sz w:val="20"/>
              </w:rPr>
            </w:pPr>
            <w:r w:rsidRPr="00AC05BA">
              <w:rPr>
                <w:rFonts w:ascii="Calibri" w:hAnsi="Calibri" w:cs="Calibri"/>
                <w:sz w:val="20"/>
              </w:rPr>
              <w:t>N’augmente pas</w:t>
            </w:r>
          </w:p>
        </w:tc>
        <w:tc>
          <w:tcPr>
            <w:tcW w:w="0" w:type="auto"/>
            <w:hideMark/>
          </w:tcPr>
          <w:p w14:paraId="063CE9F9" w14:textId="77777777" w:rsidR="00AC05BA" w:rsidRPr="00AC05BA" w:rsidRDefault="00AC05BA" w:rsidP="00AC05BA">
            <w:pPr>
              <w:jc w:val="left"/>
              <w:rPr>
                <w:rFonts w:ascii="Calibri" w:hAnsi="Calibri" w:cs="Calibri"/>
                <w:sz w:val="20"/>
              </w:rPr>
            </w:pPr>
            <w:r w:rsidRPr="00AC05BA">
              <w:rPr>
                <w:rFonts w:ascii="Calibri" w:hAnsi="Calibri" w:cs="Calibri"/>
                <w:sz w:val="20"/>
              </w:rPr>
              <w:t>Augmente</w:t>
            </w:r>
          </w:p>
        </w:tc>
      </w:tr>
      <w:tr w:rsidR="00AC05BA" w:rsidRPr="00AC05BA" w14:paraId="7B4AD17B" w14:textId="77777777" w:rsidTr="00AC05BA">
        <w:tc>
          <w:tcPr>
            <w:tcW w:w="0" w:type="auto"/>
            <w:hideMark/>
          </w:tcPr>
          <w:p w14:paraId="20602B12" w14:textId="77777777" w:rsidR="00AC05BA" w:rsidRPr="00AC05BA" w:rsidRDefault="00AC05BA" w:rsidP="00AC05BA">
            <w:pPr>
              <w:jc w:val="left"/>
              <w:rPr>
                <w:rFonts w:ascii="Calibri" w:hAnsi="Calibri" w:cs="Calibri"/>
                <w:sz w:val="20"/>
              </w:rPr>
            </w:pPr>
            <w:r w:rsidRPr="00AC05BA">
              <w:rPr>
                <w:rFonts w:ascii="Calibri" w:hAnsi="Calibri" w:cs="Calibri"/>
                <w:sz w:val="20"/>
              </w:rPr>
              <w:t>Solvabilité apparente</w:t>
            </w:r>
          </w:p>
        </w:tc>
        <w:tc>
          <w:tcPr>
            <w:tcW w:w="0" w:type="auto"/>
            <w:hideMark/>
          </w:tcPr>
          <w:p w14:paraId="246126F6" w14:textId="77777777" w:rsidR="00AC05BA" w:rsidRPr="00AC05BA" w:rsidRDefault="00AC05BA" w:rsidP="00AC05BA">
            <w:pPr>
              <w:jc w:val="left"/>
              <w:rPr>
                <w:rFonts w:ascii="Calibri" w:hAnsi="Calibri" w:cs="Calibri"/>
                <w:sz w:val="20"/>
              </w:rPr>
            </w:pPr>
            <w:r w:rsidRPr="00AC05BA">
              <w:rPr>
                <w:rFonts w:ascii="Calibri" w:hAnsi="Calibri" w:cs="Calibri"/>
                <w:sz w:val="20"/>
              </w:rPr>
              <w:t>Peut être renforcée</w:t>
            </w:r>
          </w:p>
        </w:tc>
        <w:tc>
          <w:tcPr>
            <w:tcW w:w="0" w:type="auto"/>
            <w:hideMark/>
          </w:tcPr>
          <w:p w14:paraId="3E20618A" w14:textId="77777777" w:rsidR="00AC05BA" w:rsidRPr="00AC05BA" w:rsidRDefault="00AC05BA" w:rsidP="00AC05BA">
            <w:pPr>
              <w:jc w:val="left"/>
              <w:rPr>
                <w:rFonts w:ascii="Calibri" w:hAnsi="Calibri" w:cs="Calibri"/>
                <w:sz w:val="20"/>
              </w:rPr>
            </w:pPr>
            <w:r w:rsidRPr="00AC05BA">
              <w:rPr>
                <w:rFonts w:ascii="Calibri" w:hAnsi="Calibri" w:cs="Calibri"/>
                <w:sz w:val="20"/>
              </w:rPr>
              <w:t>Dette supplémentaire</w:t>
            </w:r>
          </w:p>
        </w:tc>
      </w:tr>
      <w:tr w:rsidR="00AC05BA" w:rsidRPr="00AC05BA" w14:paraId="127243DE" w14:textId="77777777" w:rsidTr="00AC05BA">
        <w:tc>
          <w:tcPr>
            <w:tcW w:w="0" w:type="auto"/>
            <w:hideMark/>
          </w:tcPr>
          <w:p w14:paraId="00536089" w14:textId="77777777" w:rsidR="00AC05BA" w:rsidRPr="00AC05BA" w:rsidRDefault="00AC05BA" w:rsidP="00AC05BA">
            <w:pPr>
              <w:jc w:val="left"/>
              <w:rPr>
                <w:rFonts w:ascii="Calibri" w:hAnsi="Calibri" w:cs="Calibri"/>
                <w:sz w:val="20"/>
              </w:rPr>
            </w:pPr>
            <w:r w:rsidRPr="00AC05BA">
              <w:rPr>
                <w:rFonts w:ascii="Calibri" w:hAnsi="Calibri" w:cs="Calibri"/>
                <w:sz w:val="20"/>
              </w:rPr>
              <w:t>Contrôle de la société</w:t>
            </w:r>
          </w:p>
        </w:tc>
        <w:tc>
          <w:tcPr>
            <w:tcW w:w="0" w:type="auto"/>
            <w:hideMark/>
          </w:tcPr>
          <w:p w14:paraId="19AB1D32" w14:textId="77777777" w:rsidR="00AC05BA" w:rsidRPr="00AC05BA" w:rsidRDefault="00AC05BA" w:rsidP="00AC05BA">
            <w:pPr>
              <w:jc w:val="left"/>
              <w:rPr>
                <w:rFonts w:ascii="Calibri" w:hAnsi="Calibri" w:cs="Calibri"/>
                <w:sz w:val="20"/>
              </w:rPr>
            </w:pPr>
            <w:r w:rsidRPr="00AC05BA">
              <w:rPr>
                <w:rFonts w:ascii="Calibri" w:hAnsi="Calibri" w:cs="Calibri"/>
                <w:sz w:val="20"/>
              </w:rPr>
              <w:t>Peut être modifié</w:t>
            </w:r>
          </w:p>
        </w:tc>
        <w:tc>
          <w:tcPr>
            <w:tcW w:w="0" w:type="auto"/>
            <w:hideMark/>
          </w:tcPr>
          <w:p w14:paraId="548BCE32" w14:textId="77777777" w:rsidR="00AC05BA" w:rsidRPr="00AC05BA" w:rsidRDefault="00AC05BA" w:rsidP="00AC05BA">
            <w:pPr>
              <w:jc w:val="left"/>
              <w:rPr>
                <w:rFonts w:ascii="Calibri" w:hAnsi="Calibri" w:cs="Calibri"/>
                <w:sz w:val="20"/>
              </w:rPr>
            </w:pPr>
            <w:r w:rsidRPr="00AC05BA">
              <w:rPr>
                <w:rFonts w:ascii="Calibri" w:hAnsi="Calibri" w:cs="Calibri"/>
                <w:sz w:val="20"/>
              </w:rPr>
              <w:t>Inchangé en principe</w:t>
            </w:r>
          </w:p>
        </w:tc>
      </w:tr>
    </w:tbl>
    <w:p w14:paraId="44A25053" w14:textId="77777777" w:rsidR="00AC05BA" w:rsidRPr="00AC05BA" w:rsidRDefault="00AC05BA" w:rsidP="00AC05BA">
      <w:pPr>
        <w:pStyle w:val="Titre1"/>
      </w:pPr>
      <w:r w:rsidRPr="00AC05BA">
        <w:t>27. Le compte courant d’associé constitue une troisième solution fréquente</w:t>
      </w:r>
    </w:p>
    <w:p w14:paraId="21F04E3B" w14:textId="77777777" w:rsidR="00AC05BA" w:rsidRPr="00AC05BA" w:rsidRDefault="00AC05BA" w:rsidP="00AC05BA">
      <w:pPr>
        <w:spacing w:after="0" w:line="240" w:lineRule="auto"/>
      </w:pPr>
      <w:r w:rsidRPr="00AC05BA">
        <w:t>L’associé peut mettre de l’argent à la disposition de la société sans augmenter son capital.</w:t>
      </w:r>
    </w:p>
    <w:p w14:paraId="1AF5EB41" w14:textId="1C649CDD" w:rsidR="00AC05BA" w:rsidRPr="00AC05BA" w:rsidRDefault="00AC05BA" w:rsidP="00AC05BA">
      <w:pPr>
        <w:spacing w:after="0" w:line="240" w:lineRule="auto"/>
      </w:pPr>
      <w:r w:rsidRPr="00AC05BA">
        <w:t xml:space="preserve">Le compte courant d’associé est alors juridiquement un </w:t>
      </w:r>
      <w:r w:rsidRPr="00AC05BA">
        <w:rPr>
          <w:b/>
          <w:bCs/>
        </w:rPr>
        <w:t>prêt</w:t>
      </w:r>
      <w:r>
        <w:t> :</w:t>
      </w:r>
    </w:p>
    <w:p w14:paraId="674ECA78" w14:textId="03014B3F" w:rsidR="00AC05BA" w:rsidRPr="00AC05BA" w:rsidRDefault="00AC05BA">
      <w:pPr>
        <w:numPr>
          <w:ilvl w:val="0"/>
          <w:numId w:val="29"/>
        </w:numPr>
        <w:spacing w:after="0" w:line="240" w:lineRule="auto"/>
      </w:pPr>
      <w:r w:rsidRPr="00AC05BA">
        <w:t>l’associé devient créancier</w:t>
      </w:r>
      <w:r>
        <w:t> ;</w:t>
      </w:r>
    </w:p>
    <w:p w14:paraId="54BA3DBA" w14:textId="034ABCA9" w:rsidR="00AC05BA" w:rsidRPr="00AC05BA" w:rsidRDefault="00AC05BA">
      <w:pPr>
        <w:numPr>
          <w:ilvl w:val="0"/>
          <w:numId w:val="29"/>
        </w:numPr>
        <w:spacing w:after="0" w:line="240" w:lineRule="auto"/>
      </w:pPr>
      <w:r w:rsidRPr="00AC05BA">
        <w:t>le compte peut être rémunéré</w:t>
      </w:r>
      <w:r>
        <w:t> ;</w:t>
      </w:r>
    </w:p>
    <w:p w14:paraId="07DEE423" w14:textId="2070A850" w:rsidR="00AC05BA" w:rsidRPr="00AC05BA" w:rsidRDefault="00AC05BA">
      <w:pPr>
        <w:numPr>
          <w:ilvl w:val="0"/>
          <w:numId w:val="29"/>
        </w:numPr>
        <w:spacing w:after="0" w:line="240" w:lineRule="auto"/>
      </w:pPr>
      <w:r w:rsidRPr="00AC05BA">
        <w:t>ses modalités de remboursement peuvent être contractualisées</w:t>
      </w:r>
      <w:r>
        <w:t> ;</w:t>
      </w:r>
    </w:p>
    <w:p w14:paraId="0CE2C4D8" w14:textId="77777777" w:rsidR="00AC05BA" w:rsidRPr="00AC05BA" w:rsidRDefault="00AC05BA">
      <w:pPr>
        <w:numPr>
          <w:ilvl w:val="0"/>
          <w:numId w:val="29"/>
        </w:numPr>
        <w:spacing w:after="0" w:line="240" w:lineRule="auto"/>
      </w:pPr>
      <w:r w:rsidRPr="00AC05BA">
        <w:t>un blocage peut être convenu afin de maintenir durablement les fonds dans la société. (</w:t>
      </w:r>
      <w:hyperlink r:id="rId44" w:tooltip="Compte courant d'associé : fonctionnement et fiscalité" w:history="1">
        <w:r w:rsidRPr="00AC05BA">
          <w:rPr>
            <w:rStyle w:val="Lienhypertexte"/>
          </w:rPr>
          <w:t>Service Public Entreprendre</w:t>
        </w:r>
      </w:hyperlink>
      <w:r w:rsidRPr="00AC05BA">
        <w:t>)</w:t>
      </w:r>
    </w:p>
    <w:p w14:paraId="72A659CC" w14:textId="77777777" w:rsidR="00AC05BA" w:rsidRPr="00AC05BA" w:rsidRDefault="00AC05BA" w:rsidP="00AC05BA">
      <w:pPr>
        <w:spacing w:after="0" w:line="240" w:lineRule="auto"/>
        <w:rPr>
          <w:b/>
          <w:bCs/>
        </w:rPr>
      </w:pPr>
      <w:r w:rsidRPr="00AC05BA">
        <w:rPr>
          <w:b/>
          <w:bCs/>
        </w:rPr>
        <w:t>Comparaison</w:t>
      </w:r>
    </w:p>
    <w:tbl>
      <w:tblPr>
        <w:tblStyle w:val="Grilledutableau"/>
        <w:tblW w:w="0" w:type="auto"/>
        <w:tblLook w:val="04A0" w:firstRow="1" w:lastRow="0" w:firstColumn="1" w:lastColumn="0" w:noHBand="0" w:noVBand="1"/>
      </w:tblPr>
      <w:tblGrid>
        <w:gridCol w:w="3778"/>
        <w:gridCol w:w="4688"/>
      </w:tblGrid>
      <w:tr w:rsidR="00AC05BA" w:rsidRPr="00AC05BA" w14:paraId="62898F01" w14:textId="77777777" w:rsidTr="00AC05BA">
        <w:trPr>
          <w:tblHeader/>
        </w:trPr>
        <w:tc>
          <w:tcPr>
            <w:tcW w:w="0" w:type="auto"/>
            <w:hideMark/>
          </w:tcPr>
          <w:p w14:paraId="72CFE450" w14:textId="77777777" w:rsidR="00AC05BA" w:rsidRPr="00AC05BA" w:rsidRDefault="00AC05BA" w:rsidP="00AC05BA">
            <w:pPr>
              <w:jc w:val="left"/>
              <w:rPr>
                <w:rFonts w:ascii="Calibri" w:hAnsi="Calibri" w:cs="Calibri"/>
                <w:b/>
                <w:bCs/>
                <w:sz w:val="20"/>
              </w:rPr>
            </w:pPr>
            <w:r w:rsidRPr="00AC05BA">
              <w:rPr>
                <w:rFonts w:ascii="Calibri" w:hAnsi="Calibri" w:cs="Calibri"/>
                <w:b/>
                <w:bCs/>
                <w:sz w:val="20"/>
              </w:rPr>
              <w:t>Capital</w:t>
            </w:r>
          </w:p>
        </w:tc>
        <w:tc>
          <w:tcPr>
            <w:tcW w:w="0" w:type="auto"/>
            <w:hideMark/>
          </w:tcPr>
          <w:p w14:paraId="2C76BEFC" w14:textId="77777777" w:rsidR="00AC05BA" w:rsidRPr="00AC05BA" w:rsidRDefault="00AC05BA" w:rsidP="00AC05BA">
            <w:pPr>
              <w:jc w:val="left"/>
              <w:rPr>
                <w:rFonts w:ascii="Calibri" w:hAnsi="Calibri" w:cs="Calibri"/>
                <w:b/>
                <w:bCs/>
                <w:sz w:val="20"/>
              </w:rPr>
            </w:pPr>
            <w:r w:rsidRPr="00AC05BA">
              <w:rPr>
                <w:rFonts w:ascii="Calibri" w:hAnsi="Calibri" w:cs="Calibri"/>
                <w:b/>
                <w:bCs/>
                <w:sz w:val="20"/>
              </w:rPr>
              <w:t>Compte courant</w:t>
            </w:r>
          </w:p>
        </w:tc>
      </w:tr>
      <w:tr w:rsidR="00AC05BA" w:rsidRPr="00AC05BA" w14:paraId="18068D62" w14:textId="77777777" w:rsidTr="00AC05BA">
        <w:tc>
          <w:tcPr>
            <w:tcW w:w="0" w:type="auto"/>
            <w:hideMark/>
          </w:tcPr>
          <w:p w14:paraId="524001D0" w14:textId="77777777" w:rsidR="00AC05BA" w:rsidRPr="00AC05BA" w:rsidRDefault="00AC05BA" w:rsidP="00AC05BA">
            <w:pPr>
              <w:jc w:val="left"/>
              <w:rPr>
                <w:rFonts w:ascii="Calibri" w:hAnsi="Calibri" w:cs="Calibri"/>
                <w:sz w:val="20"/>
              </w:rPr>
            </w:pPr>
            <w:r w:rsidRPr="00AC05BA">
              <w:rPr>
                <w:rFonts w:ascii="Calibri" w:hAnsi="Calibri" w:cs="Calibri"/>
                <w:sz w:val="20"/>
              </w:rPr>
              <w:t>Associé apporte des fonds propres</w:t>
            </w:r>
          </w:p>
        </w:tc>
        <w:tc>
          <w:tcPr>
            <w:tcW w:w="0" w:type="auto"/>
            <w:hideMark/>
          </w:tcPr>
          <w:p w14:paraId="7C926A57" w14:textId="77777777" w:rsidR="00AC05BA" w:rsidRPr="00AC05BA" w:rsidRDefault="00AC05BA" w:rsidP="00AC05BA">
            <w:pPr>
              <w:jc w:val="left"/>
              <w:rPr>
                <w:rFonts w:ascii="Calibri" w:hAnsi="Calibri" w:cs="Calibri"/>
                <w:sz w:val="20"/>
              </w:rPr>
            </w:pPr>
            <w:r w:rsidRPr="00AC05BA">
              <w:rPr>
                <w:rFonts w:ascii="Calibri" w:hAnsi="Calibri" w:cs="Calibri"/>
                <w:sz w:val="20"/>
              </w:rPr>
              <w:t>Associé prête</w:t>
            </w:r>
          </w:p>
        </w:tc>
      </w:tr>
      <w:tr w:rsidR="00AC05BA" w:rsidRPr="00AC05BA" w14:paraId="206742E7" w14:textId="77777777" w:rsidTr="00AC05BA">
        <w:tc>
          <w:tcPr>
            <w:tcW w:w="0" w:type="auto"/>
            <w:hideMark/>
          </w:tcPr>
          <w:p w14:paraId="4E6AB328" w14:textId="77777777" w:rsidR="00AC05BA" w:rsidRPr="00AC05BA" w:rsidRDefault="00AC05BA" w:rsidP="00AC05BA">
            <w:pPr>
              <w:jc w:val="left"/>
              <w:rPr>
                <w:rFonts w:ascii="Calibri" w:hAnsi="Calibri" w:cs="Calibri"/>
                <w:sz w:val="20"/>
              </w:rPr>
            </w:pPr>
            <w:r w:rsidRPr="00AC05BA">
              <w:rPr>
                <w:rFonts w:ascii="Calibri" w:hAnsi="Calibri" w:cs="Calibri"/>
                <w:sz w:val="20"/>
              </w:rPr>
              <w:t>Droits sociaux éventuels</w:t>
            </w:r>
          </w:p>
        </w:tc>
        <w:tc>
          <w:tcPr>
            <w:tcW w:w="0" w:type="auto"/>
            <w:hideMark/>
          </w:tcPr>
          <w:p w14:paraId="6E67D51A" w14:textId="77777777" w:rsidR="00AC05BA" w:rsidRPr="00AC05BA" w:rsidRDefault="00AC05BA" w:rsidP="00AC05BA">
            <w:pPr>
              <w:jc w:val="left"/>
              <w:rPr>
                <w:rFonts w:ascii="Calibri" w:hAnsi="Calibri" w:cs="Calibri"/>
                <w:sz w:val="20"/>
              </w:rPr>
            </w:pPr>
            <w:r w:rsidRPr="00AC05BA">
              <w:rPr>
                <w:rFonts w:ascii="Calibri" w:hAnsi="Calibri" w:cs="Calibri"/>
                <w:sz w:val="20"/>
              </w:rPr>
              <w:t>Créance</w:t>
            </w:r>
          </w:p>
        </w:tc>
      </w:tr>
      <w:tr w:rsidR="00AC05BA" w:rsidRPr="00AC05BA" w14:paraId="73940C98" w14:textId="77777777" w:rsidTr="00AC05BA">
        <w:tc>
          <w:tcPr>
            <w:tcW w:w="0" w:type="auto"/>
            <w:hideMark/>
          </w:tcPr>
          <w:p w14:paraId="347E6685" w14:textId="77777777" w:rsidR="00AC05BA" w:rsidRPr="00AC05BA" w:rsidRDefault="00AC05BA" w:rsidP="00AC05BA">
            <w:pPr>
              <w:jc w:val="left"/>
              <w:rPr>
                <w:rFonts w:ascii="Calibri" w:hAnsi="Calibri" w:cs="Calibri"/>
                <w:sz w:val="20"/>
              </w:rPr>
            </w:pPr>
            <w:r w:rsidRPr="00AC05BA">
              <w:rPr>
                <w:rFonts w:ascii="Calibri" w:hAnsi="Calibri" w:cs="Calibri"/>
                <w:sz w:val="20"/>
              </w:rPr>
              <w:t>Pas de remboursement libre à tout moment</w:t>
            </w:r>
          </w:p>
        </w:tc>
        <w:tc>
          <w:tcPr>
            <w:tcW w:w="0" w:type="auto"/>
            <w:hideMark/>
          </w:tcPr>
          <w:p w14:paraId="702FC48B" w14:textId="77777777" w:rsidR="00AC05BA" w:rsidRPr="00AC05BA" w:rsidRDefault="00AC05BA" w:rsidP="00AC05BA">
            <w:pPr>
              <w:jc w:val="left"/>
              <w:rPr>
                <w:rFonts w:ascii="Calibri" w:hAnsi="Calibri" w:cs="Calibri"/>
                <w:sz w:val="20"/>
              </w:rPr>
            </w:pPr>
            <w:r w:rsidRPr="00AC05BA">
              <w:rPr>
                <w:rFonts w:ascii="Calibri" w:hAnsi="Calibri" w:cs="Calibri"/>
                <w:sz w:val="20"/>
              </w:rPr>
              <w:t>Remboursement selon convention et règles applicables</w:t>
            </w:r>
          </w:p>
        </w:tc>
      </w:tr>
      <w:tr w:rsidR="00AC05BA" w:rsidRPr="00AC05BA" w14:paraId="682FD366" w14:textId="77777777" w:rsidTr="00AC05BA">
        <w:tc>
          <w:tcPr>
            <w:tcW w:w="0" w:type="auto"/>
            <w:hideMark/>
          </w:tcPr>
          <w:p w14:paraId="11B4060D" w14:textId="77777777" w:rsidR="00AC05BA" w:rsidRPr="00AC05BA" w:rsidRDefault="00AC05BA" w:rsidP="00AC05BA">
            <w:pPr>
              <w:jc w:val="left"/>
              <w:rPr>
                <w:rFonts w:ascii="Calibri" w:hAnsi="Calibri" w:cs="Calibri"/>
                <w:sz w:val="20"/>
              </w:rPr>
            </w:pPr>
            <w:r w:rsidRPr="00AC05BA">
              <w:rPr>
                <w:rFonts w:ascii="Calibri" w:hAnsi="Calibri" w:cs="Calibri"/>
                <w:sz w:val="20"/>
              </w:rPr>
              <w:t>Renforce directement le capital</w:t>
            </w:r>
          </w:p>
        </w:tc>
        <w:tc>
          <w:tcPr>
            <w:tcW w:w="0" w:type="auto"/>
            <w:hideMark/>
          </w:tcPr>
          <w:p w14:paraId="4258EAAD" w14:textId="77777777" w:rsidR="00AC05BA" w:rsidRPr="00AC05BA" w:rsidRDefault="00AC05BA" w:rsidP="00AC05BA">
            <w:pPr>
              <w:jc w:val="left"/>
              <w:rPr>
                <w:rFonts w:ascii="Calibri" w:hAnsi="Calibri" w:cs="Calibri"/>
                <w:sz w:val="20"/>
              </w:rPr>
            </w:pPr>
            <w:r w:rsidRPr="00AC05BA">
              <w:rPr>
                <w:rFonts w:ascii="Calibri" w:hAnsi="Calibri" w:cs="Calibri"/>
                <w:sz w:val="20"/>
              </w:rPr>
              <w:t>Crée ou maintient une dette</w:t>
            </w:r>
          </w:p>
        </w:tc>
      </w:tr>
      <w:tr w:rsidR="00AC05BA" w:rsidRPr="00AC05BA" w14:paraId="34967409" w14:textId="77777777" w:rsidTr="00AC05BA">
        <w:tc>
          <w:tcPr>
            <w:tcW w:w="0" w:type="auto"/>
            <w:hideMark/>
          </w:tcPr>
          <w:p w14:paraId="0DCDE71E" w14:textId="77777777" w:rsidR="00AC05BA" w:rsidRPr="00AC05BA" w:rsidRDefault="00AC05BA" w:rsidP="00AC05BA">
            <w:pPr>
              <w:jc w:val="left"/>
              <w:rPr>
                <w:rFonts w:ascii="Calibri" w:hAnsi="Calibri" w:cs="Calibri"/>
                <w:sz w:val="20"/>
              </w:rPr>
            </w:pPr>
            <w:r w:rsidRPr="00AC05BA">
              <w:rPr>
                <w:rFonts w:ascii="Calibri" w:hAnsi="Calibri" w:cs="Calibri"/>
                <w:sz w:val="20"/>
              </w:rPr>
              <w:t>Peut diluer les autres associés</w:t>
            </w:r>
          </w:p>
        </w:tc>
        <w:tc>
          <w:tcPr>
            <w:tcW w:w="0" w:type="auto"/>
            <w:hideMark/>
          </w:tcPr>
          <w:p w14:paraId="2F28356D" w14:textId="77777777" w:rsidR="00AC05BA" w:rsidRPr="00AC05BA" w:rsidRDefault="00AC05BA" w:rsidP="00AC05BA">
            <w:pPr>
              <w:jc w:val="left"/>
              <w:rPr>
                <w:rFonts w:ascii="Calibri" w:hAnsi="Calibri" w:cs="Calibri"/>
                <w:sz w:val="20"/>
              </w:rPr>
            </w:pPr>
            <w:r w:rsidRPr="00AC05BA">
              <w:rPr>
                <w:rFonts w:ascii="Calibri" w:hAnsi="Calibri" w:cs="Calibri"/>
                <w:sz w:val="20"/>
              </w:rPr>
              <w:t>Pas de dilution</w:t>
            </w:r>
          </w:p>
        </w:tc>
      </w:tr>
    </w:tbl>
    <w:p w14:paraId="0AEE4428" w14:textId="77777777" w:rsidR="00AC05BA" w:rsidRPr="00AC05BA" w:rsidRDefault="00AC05BA" w:rsidP="00AC05BA">
      <w:pPr>
        <w:pStyle w:val="Titre1"/>
      </w:pPr>
      <w:r w:rsidRPr="00AC05BA">
        <w:t>28. Les financements peuvent être combinés</w:t>
      </w:r>
    </w:p>
    <w:p w14:paraId="71B95F8F" w14:textId="77777777" w:rsidR="00AC05BA" w:rsidRPr="00AC05BA" w:rsidRDefault="00AC05BA" w:rsidP="00AC05BA">
      <w:pPr>
        <w:spacing w:after="0" w:line="240" w:lineRule="auto"/>
      </w:pPr>
      <w:r w:rsidRPr="00AC05BA">
        <w:t>Une société n’a généralement pas à choisir un mode de financement exclusif.</w:t>
      </w:r>
    </w:p>
    <w:p w14:paraId="6F93F785" w14:textId="417A8B6C" w:rsidR="00AC05BA" w:rsidRPr="00AC05BA" w:rsidRDefault="00AC05BA" w:rsidP="00AC05BA">
      <w:pPr>
        <w:spacing w:after="0" w:line="240" w:lineRule="auto"/>
      </w:pPr>
      <w:r w:rsidRPr="00AC05BA">
        <w:t>Elle peut combiner</w:t>
      </w:r>
      <w:r>
        <w:t> :</w:t>
      </w:r>
    </w:p>
    <w:p w14:paraId="1A8B8BDA" w14:textId="1CAF1589" w:rsidR="00AC05BA" w:rsidRPr="00AC05BA" w:rsidRDefault="00AC05BA">
      <w:pPr>
        <w:numPr>
          <w:ilvl w:val="0"/>
          <w:numId w:val="30"/>
        </w:numPr>
        <w:spacing w:after="0" w:line="240" w:lineRule="auto"/>
      </w:pPr>
      <w:r w:rsidRPr="00AC05BA">
        <w:lastRenderedPageBreak/>
        <w:t>augmentation de capital</w:t>
      </w:r>
      <w:r>
        <w:t> ;</w:t>
      </w:r>
    </w:p>
    <w:p w14:paraId="7680D846" w14:textId="5AE2AC07" w:rsidR="00AC05BA" w:rsidRPr="00AC05BA" w:rsidRDefault="00AC05BA">
      <w:pPr>
        <w:numPr>
          <w:ilvl w:val="0"/>
          <w:numId w:val="30"/>
        </w:numPr>
        <w:spacing w:after="0" w:line="240" w:lineRule="auto"/>
      </w:pPr>
      <w:r w:rsidRPr="00AC05BA">
        <w:t>compte courant</w:t>
      </w:r>
      <w:r>
        <w:t> ;</w:t>
      </w:r>
    </w:p>
    <w:p w14:paraId="47F5EA78" w14:textId="0A0466F9" w:rsidR="00AC05BA" w:rsidRPr="00AC05BA" w:rsidRDefault="00AC05BA">
      <w:pPr>
        <w:numPr>
          <w:ilvl w:val="0"/>
          <w:numId w:val="30"/>
        </w:numPr>
        <w:spacing w:after="0" w:line="240" w:lineRule="auto"/>
      </w:pPr>
      <w:r w:rsidRPr="00AC05BA">
        <w:t>emprunt bancaire</w:t>
      </w:r>
      <w:r>
        <w:t> ;</w:t>
      </w:r>
    </w:p>
    <w:p w14:paraId="4030CCF1" w14:textId="2044E75A" w:rsidR="00AC05BA" w:rsidRPr="00AC05BA" w:rsidRDefault="00AC05BA">
      <w:pPr>
        <w:numPr>
          <w:ilvl w:val="0"/>
          <w:numId w:val="30"/>
        </w:numPr>
        <w:spacing w:after="0" w:line="240" w:lineRule="auto"/>
      </w:pPr>
      <w:r w:rsidRPr="00AC05BA">
        <w:t>emprunt obligataire</w:t>
      </w:r>
      <w:r>
        <w:t> ;</w:t>
      </w:r>
    </w:p>
    <w:p w14:paraId="2B33211A" w14:textId="65A00A0A" w:rsidR="00AC05BA" w:rsidRPr="00AC05BA" w:rsidRDefault="00AC05BA">
      <w:pPr>
        <w:numPr>
          <w:ilvl w:val="0"/>
          <w:numId w:val="30"/>
        </w:numPr>
        <w:spacing w:after="0" w:line="240" w:lineRule="auto"/>
      </w:pPr>
      <w:r w:rsidRPr="00AC05BA">
        <w:t>autofinancement</w:t>
      </w:r>
      <w:r>
        <w:t> ;</w:t>
      </w:r>
    </w:p>
    <w:p w14:paraId="6389BD55" w14:textId="7D778A5E" w:rsidR="00AC05BA" w:rsidRPr="00AC05BA" w:rsidRDefault="00AC05BA">
      <w:pPr>
        <w:numPr>
          <w:ilvl w:val="0"/>
          <w:numId w:val="30"/>
        </w:numPr>
        <w:spacing w:after="0" w:line="240" w:lineRule="auto"/>
      </w:pPr>
      <w:r w:rsidRPr="00AC05BA">
        <w:t>crédit-bail</w:t>
      </w:r>
      <w:r>
        <w:t> ;</w:t>
      </w:r>
    </w:p>
    <w:p w14:paraId="36314C62" w14:textId="3470F52B" w:rsidR="00AC05BA" w:rsidRPr="00AC05BA" w:rsidRDefault="00AC05BA">
      <w:pPr>
        <w:numPr>
          <w:ilvl w:val="0"/>
          <w:numId w:val="30"/>
        </w:numPr>
        <w:spacing w:after="0" w:line="240" w:lineRule="auto"/>
      </w:pPr>
      <w:r w:rsidRPr="00AC05BA">
        <w:t>financement participatif</w:t>
      </w:r>
      <w:r>
        <w:t> ;</w:t>
      </w:r>
    </w:p>
    <w:p w14:paraId="1C4C11A9" w14:textId="77777777" w:rsidR="00AC05BA" w:rsidRPr="00AC05BA" w:rsidRDefault="00AC05BA">
      <w:pPr>
        <w:numPr>
          <w:ilvl w:val="0"/>
          <w:numId w:val="30"/>
        </w:numPr>
        <w:spacing w:after="0" w:line="240" w:lineRule="auto"/>
      </w:pPr>
      <w:r w:rsidRPr="00AC05BA">
        <w:t>aides et subventions selon le projet.</w:t>
      </w:r>
    </w:p>
    <w:p w14:paraId="2D4E53DE" w14:textId="58FC2744" w:rsidR="00AC05BA" w:rsidRPr="00AC05BA" w:rsidRDefault="00AC05BA" w:rsidP="00AC05BA">
      <w:pPr>
        <w:spacing w:after="0" w:line="240" w:lineRule="auto"/>
      </w:pPr>
      <w:r w:rsidRPr="00AC05BA">
        <w:t>Le choix dépend notamment de</w:t>
      </w:r>
      <w:r>
        <w:t> :</w:t>
      </w:r>
    </w:p>
    <w:p w14:paraId="30F42C76" w14:textId="291F3033" w:rsidR="00AC05BA" w:rsidRPr="00AC05BA" w:rsidRDefault="00AC05BA">
      <w:pPr>
        <w:numPr>
          <w:ilvl w:val="0"/>
          <w:numId w:val="31"/>
        </w:numPr>
        <w:spacing w:after="0" w:line="240" w:lineRule="auto"/>
      </w:pPr>
      <w:r w:rsidRPr="00AC05BA">
        <w:t>la durée du besoin</w:t>
      </w:r>
      <w:r>
        <w:t> ;</w:t>
      </w:r>
    </w:p>
    <w:p w14:paraId="225A8947" w14:textId="18450AD4" w:rsidR="00AC05BA" w:rsidRPr="00AC05BA" w:rsidRDefault="00AC05BA">
      <w:pPr>
        <w:numPr>
          <w:ilvl w:val="0"/>
          <w:numId w:val="31"/>
        </w:numPr>
        <w:spacing w:after="0" w:line="240" w:lineRule="auto"/>
      </w:pPr>
      <w:r w:rsidRPr="00AC05BA">
        <w:t>la capacité de remboursement</w:t>
      </w:r>
      <w:r>
        <w:t> ;</w:t>
      </w:r>
    </w:p>
    <w:p w14:paraId="06513D8A" w14:textId="12D04CE0" w:rsidR="00AC05BA" w:rsidRPr="00AC05BA" w:rsidRDefault="00AC05BA">
      <w:pPr>
        <w:numPr>
          <w:ilvl w:val="0"/>
          <w:numId w:val="31"/>
        </w:numPr>
        <w:spacing w:after="0" w:line="240" w:lineRule="auto"/>
      </w:pPr>
      <w:r w:rsidRPr="00AC05BA">
        <w:t>le niveau d’endettement</w:t>
      </w:r>
      <w:r>
        <w:t> ;</w:t>
      </w:r>
    </w:p>
    <w:p w14:paraId="75B29B51" w14:textId="1E0EB697" w:rsidR="00AC05BA" w:rsidRPr="00AC05BA" w:rsidRDefault="00AC05BA">
      <w:pPr>
        <w:numPr>
          <w:ilvl w:val="0"/>
          <w:numId w:val="31"/>
        </w:numPr>
        <w:spacing w:after="0" w:line="240" w:lineRule="auto"/>
      </w:pPr>
      <w:r w:rsidRPr="00AC05BA">
        <w:t>la volonté d’ouvrir ou non le capital</w:t>
      </w:r>
      <w:r>
        <w:t> ;</w:t>
      </w:r>
    </w:p>
    <w:p w14:paraId="5FFD5781" w14:textId="766BABE0" w:rsidR="00AC05BA" w:rsidRPr="00AC05BA" w:rsidRDefault="00AC05BA">
      <w:pPr>
        <w:numPr>
          <w:ilvl w:val="0"/>
          <w:numId w:val="31"/>
        </w:numPr>
        <w:spacing w:after="0" w:line="240" w:lineRule="auto"/>
      </w:pPr>
      <w:r w:rsidRPr="00AC05BA">
        <w:t>le risque de dilution</w:t>
      </w:r>
      <w:r>
        <w:t> ;</w:t>
      </w:r>
    </w:p>
    <w:p w14:paraId="1512CB0E" w14:textId="6E429334" w:rsidR="00AC05BA" w:rsidRPr="00AC05BA" w:rsidRDefault="00AC05BA">
      <w:pPr>
        <w:numPr>
          <w:ilvl w:val="0"/>
          <w:numId w:val="31"/>
        </w:numPr>
        <w:spacing w:after="0" w:line="240" w:lineRule="auto"/>
      </w:pPr>
      <w:r w:rsidRPr="00AC05BA">
        <w:t>le coût du financement</w:t>
      </w:r>
      <w:r>
        <w:t> ;</w:t>
      </w:r>
    </w:p>
    <w:p w14:paraId="0D048DBD" w14:textId="6C814091" w:rsidR="00AC05BA" w:rsidRPr="00AC05BA" w:rsidRDefault="00AC05BA">
      <w:pPr>
        <w:numPr>
          <w:ilvl w:val="0"/>
          <w:numId w:val="31"/>
        </w:numPr>
        <w:spacing w:after="0" w:line="240" w:lineRule="auto"/>
      </w:pPr>
      <w:r w:rsidRPr="00AC05BA">
        <w:t>les garanties demandées</w:t>
      </w:r>
      <w:r>
        <w:t> ;</w:t>
      </w:r>
    </w:p>
    <w:p w14:paraId="02BE413D" w14:textId="77777777" w:rsidR="00AC05BA" w:rsidRPr="00AC05BA" w:rsidRDefault="00AC05BA">
      <w:pPr>
        <w:numPr>
          <w:ilvl w:val="0"/>
          <w:numId w:val="31"/>
        </w:numPr>
        <w:spacing w:after="0" w:line="240" w:lineRule="auto"/>
      </w:pPr>
      <w:r w:rsidRPr="00AC05BA">
        <w:t>la flexibilité souhaitée.</w:t>
      </w:r>
    </w:p>
    <w:p w14:paraId="57D96FC4" w14:textId="77777777" w:rsidR="00AC05BA" w:rsidRPr="00AC05BA" w:rsidRDefault="00AC05BA" w:rsidP="00AC05BA">
      <w:pPr>
        <w:pStyle w:val="Titre1"/>
      </w:pPr>
      <w:r w:rsidRPr="00AC05BA">
        <w:t>29. Les instruments financiers plus complexes combinent parfois capital et dette</w:t>
      </w:r>
    </w:p>
    <w:p w14:paraId="4BA18B4B" w14:textId="77777777" w:rsidR="00AC05BA" w:rsidRPr="00AC05BA" w:rsidRDefault="00AC05BA" w:rsidP="00AC05BA">
      <w:pPr>
        <w:spacing w:after="0" w:line="240" w:lineRule="auto"/>
      </w:pPr>
      <w:r w:rsidRPr="00AC05BA">
        <w:t>Les sociétés par actions peuvent émettre des valeurs mobilières donnant accès au capital ou donnant droit à l’attribution de titres de créance. (</w:t>
      </w:r>
      <w:hyperlink r:id="rId45" w:tooltip="Des valeurs mobilières donnant accès au capital ou ..." w:history="1">
        <w:r w:rsidRPr="00AC05BA">
          <w:rPr>
            <w:rStyle w:val="Lienhypertexte"/>
          </w:rPr>
          <w:t>Légifrance</w:t>
        </w:r>
      </w:hyperlink>
      <w:r w:rsidRPr="00AC05BA">
        <w:t>)</w:t>
      </w:r>
    </w:p>
    <w:p w14:paraId="0F69ABF8" w14:textId="7EC49B86" w:rsidR="00AC05BA" w:rsidRPr="00AC05BA" w:rsidRDefault="00AC05BA" w:rsidP="00AC05BA">
      <w:pPr>
        <w:spacing w:after="0" w:line="240" w:lineRule="auto"/>
      </w:pPr>
      <w:r w:rsidRPr="00AC05BA">
        <w:t>On rencontre notamment</w:t>
      </w:r>
      <w:r>
        <w:t> :</w:t>
      </w:r>
    </w:p>
    <w:tbl>
      <w:tblPr>
        <w:tblStyle w:val="Grilledutableau"/>
        <w:tblW w:w="0" w:type="auto"/>
        <w:tblLook w:val="04A0" w:firstRow="1" w:lastRow="0" w:firstColumn="1" w:lastColumn="0" w:noHBand="0" w:noVBand="1"/>
      </w:tblPr>
      <w:tblGrid>
        <w:gridCol w:w="1141"/>
        <w:gridCol w:w="4535"/>
      </w:tblGrid>
      <w:tr w:rsidR="00AC05BA" w:rsidRPr="00AC05BA" w14:paraId="1FABD53D" w14:textId="77777777" w:rsidTr="00AC05BA">
        <w:trPr>
          <w:tblHeader/>
        </w:trPr>
        <w:tc>
          <w:tcPr>
            <w:tcW w:w="0" w:type="auto"/>
            <w:hideMark/>
          </w:tcPr>
          <w:p w14:paraId="63F6F5E6" w14:textId="77777777" w:rsidR="00AC05BA" w:rsidRPr="00AC05BA" w:rsidRDefault="00AC05BA" w:rsidP="00AC05BA">
            <w:pPr>
              <w:jc w:val="left"/>
              <w:rPr>
                <w:rFonts w:ascii="Calibri" w:hAnsi="Calibri" w:cs="Calibri"/>
                <w:b/>
                <w:bCs/>
                <w:sz w:val="20"/>
              </w:rPr>
            </w:pPr>
            <w:r w:rsidRPr="00AC05BA">
              <w:rPr>
                <w:rFonts w:ascii="Calibri" w:hAnsi="Calibri" w:cs="Calibri"/>
                <w:b/>
                <w:bCs/>
                <w:sz w:val="20"/>
              </w:rPr>
              <w:t>Instrument</w:t>
            </w:r>
          </w:p>
        </w:tc>
        <w:tc>
          <w:tcPr>
            <w:tcW w:w="0" w:type="auto"/>
            <w:hideMark/>
          </w:tcPr>
          <w:p w14:paraId="14446A39" w14:textId="77777777" w:rsidR="00AC05BA" w:rsidRPr="00AC05BA" w:rsidRDefault="00AC05BA" w:rsidP="00AC05BA">
            <w:pPr>
              <w:jc w:val="left"/>
              <w:rPr>
                <w:rFonts w:ascii="Calibri" w:hAnsi="Calibri" w:cs="Calibri"/>
                <w:b/>
                <w:bCs/>
                <w:sz w:val="20"/>
              </w:rPr>
            </w:pPr>
            <w:r w:rsidRPr="00AC05BA">
              <w:rPr>
                <w:rFonts w:ascii="Calibri" w:hAnsi="Calibri" w:cs="Calibri"/>
                <w:b/>
                <w:bCs/>
                <w:sz w:val="20"/>
              </w:rPr>
              <w:t>Logique générale</w:t>
            </w:r>
          </w:p>
        </w:tc>
      </w:tr>
      <w:tr w:rsidR="00AC05BA" w:rsidRPr="00AC05BA" w14:paraId="5C2DBD7E" w14:textId="77777777" w:rsidTr="00AC05BA">
        <w:tc>
          <w:tcPr>
            <w:tcW w:w="0" w:type="auto"/>
            <w:hideMark/>
          </w:tcPr>
          <w:p w14:paraId="1E205868" w14:textId="77777777" w:rsidR="00AC05BA" w:rsidRPr="00AC05BA" w:rsidRDefault="00AC05BA" w:rsidP="00AC05BA">
            <w:pPr>
              <w:jc w:val="left"/>
              <w:rPr>
                <w:rFonts w:ascii="Calibri" w:hAnsi="Calibri" w:cs="Calibri"/>
                <w:sz w:val="20"/>
              </w:rPr>
            </w:pPr>
            <w:r w:rsidRPr="00AC05BA">
              <w:rPr>
                <w:rFonts w:ascii="Calibri" w:hAnsi="Calibri" w:cs="Calibri"/>
                <w:b/>
                <w:bCs/>
                <w:sz w:val="20"/>
              </w:rPr>
              <w:t>OCA</w:t>
            </w:r>
          </w:p>
        </w:tc>
        <w:tc>
          <w:tcPr>
            <w:tcW w:w="0" w:type="auto"/>
            <w:hideMark/>
          </w:tcPr>
          <w:p w14:paraId="59EC600D" w14:textId="77777777" w:rsidR="00AC05BA" w:rsidRPr="00AC05BA" w:rsidRDefault="00AC05BA" w:rsidP="00AC05BA">
            <w:pPr>
              <w:jc w:val="left"/>
              <w:rPr>
                <w:rFonts w:ascii="Calibri" w:hAnsi="Calibri" w:cs="Calibri"/>
                <w:sz w:val="20"/>
              </w:rPr>
            </w:pPr>
            <w:r w:rsidRPr="00AC05BA">
              <w:rPr>
                <w:rFonts w:ascii="Calibri" w:hAnsi="Calibri" w:cs="Calibri"/>
                <w:sz w:val="20"/>
              </w:rPr>
              <w:t>Obligation convertible en actions</w:t>
            </w:r>
          </w:p>
        </w:tc>
      </w:tr>
      <w:tr w:rsidR="00AC05BA" w:rsidRPr="00AC05BA" w14:paraId="35F0E83D" w14:textId="77777777" w:rsidTr="00AC05BA">
        <w:tc>
          <w:tcPr>
            <w:tcW w:w="0" w:type="auto"/>
            <w:hideMark/>
          </w:tcPr>
          <w:p w14:paraId="61CB84C1" w14:textId="77777777" w:rsidR="00AC05BA" w:rsidRPr="00AC05BA" w:rsidRDefault="00AC05BA" w:rsidP="00AC05BA">
            <w:pPr>
              <w:jc w:val="left"/>
              <w:rPr>
                <w:rFonts w:ascii="Calibri" w:hAnsi="Calibri" w:cs="Calibri"/>
                <w:sz w:val="20"/>
              </w:rPr>
            </w:pPr>
            <w:r w:rsidRPr="00AC05BA">
              <w:rPr>
                <w:rFonts w:ascii="Calibri" w:hAnsi="Calibri" w:cs="Calibri"/>
                <w:b/>
                <w:bCs/>
                <w:sz w:val="20"/>
              </w:rPr>
              <w:t>ORA</w:t>
            </w:r>
          </w:p>
        </w:tc>
        <w:tc>
          <w:tcPr>
            <w:tcW w:w="0" w:type="auto"/>
            <w:hideMark/>
          </w:tcPr>
          <w:p w14:paraId="57B0D53A" w14:textId="77777777" w:rsidR="00AC05BA" w:rsidRPr="00AC05BA" w:rsidRDefault="00AC05BA" w:rsidP="00AC05BA">
            <w:pPr>
              <w:jc w:val="left"/>
              <w:rPr>
                <w:rFonts w:ascii="Calibri" w:hAnsi="Calibri" w:cs="Calibri"/>
                <w:sz w:val="20"/>
              </w:rPr>
            </w:pPr>
            <w:r w:rsidRPr="00AC05BA">
              <w:rPr>
                <w:rFonts w:ascii="Calibri" w:hAnsi="Calibri" w:cs="Calibri"/>
                <w:sz w:val="20"/>
              </w:rPr>
              <w:t>Obligation remboursable en actions</w:t>
            </w:r>
          </w:p>
        </w:tc>
      </w:tr>
      <w:tr w:rsidR="00AC05BA" w:rsidRPr="00AC05BA" w14:paraId="579F8537" w14:textId="77777777" w:rsidTr="00AC05BA">
        <w:tc>
          <w:tcPr>
            <w:tcW w:w="0" w:type="auto"/>
            <w:hideMark/>
          </w:tcPr>
          <w:p w14:paraId="760A41A6" w14:textId="77777777" w:rsidR="00AC05BA" w:rsidRPr="00AC05BA" w:rsidRDefault="00AC05BA" w:rsidP="00AC05BA">
            <w:pPr>
              <w:jc w:val="left"/>
              <w:rPr>
                <w:rFonts w:ascii="Calibri" w:hAnsi="Calibri" w:cs="Calibri"/>
                <w:sz w:val="20"/>
              </w:rPr>
            </w:pPr>
            <w:r w:rsidRPr="00AC05BA">
              <w:rPr>
                <w:rFonts w:ascii="Calibri" w:hAnsi="Calibri" w:cs="Calibri"/>
                <w:b/>
                <w:bCs/>
                <w:sz w:val="20"/>
              </w:rPr>
              <w:t>BSA</w:t>
            </w:r>
          </w:p>
        </w:tc>
        <w:tc>
          <w:tcPr>
            <w:tcW w:w="0" w:type="auto"/>
            <w:hideMark/>
          </w:tcPr>
          <w:p w14:paraId="0285872D" w14:textId="77777777" w:rsidR="00AC05BA" w:rsidRPr="00AC05BA" w:rsidRDefault="00AC05BA" w:rsidP="00AC05BA">
            <w:pPr>
              <w:jc w:val="left"/>
              <w:rPr>
                <w:rFonts w:ascii="Calibri" w:hAnsi="Calibri" w:cs="Calibri"/>
                <w:sz w:val="20"/>
              </w:rPr>
            </w:pPr>
            <w:r w:rsidRPr="00AC05BA">
              <w:rPr>
                <w:rFonts w:ascii="Calibri" w:hAnsi="Calibri" w:cs="Calibri"/>
                <w:sz w:val="20"/>
              </w:rPr>
              <w:t>Bon de souscription d’actions</w:t>
            </w:r>
          </w:p>
        </w:tc>
      </w:tr>
      <w:tr w:rsidR="00AC05BA" w:rsidRPr="00AC05BA" w14:paraId="608E12BA" w14:textId="77777777" w:rsidTr="00AC05BA">
        <w:tc>
          <w:tcPr>
            <w:tcW w:w="0" w:type="auto"/>
            <w:hideMark/>
          </w:tcPr>
          <w:p w14:paraId="1DC66DD8" w14:textId="77777777" w:rsidR="00AC05BA" w:rsidRPr="00AC05BA" w:rsidRDefault="00AC05BA" w:rsidP="00AC05BA">
            <w:pPr>
              <w:jc w:val="left"/>
              <w:rPr>
                <w:rFonts w:ascii="Calibri" w:hAnsi="Calibri" w:cs="Calibri"/>
                <w:sz w:val="20"/>
              </w:rPr>
            </w:pPr>
            <w:r w:rsidRPr="00AC05BA">
              <w:rPr>
                <w:rFonts w:ascii="Calibri" w:hAnsi="Calibri" w:cs="Calibri"/>
                <w:b/>
                <w:bCs/>
                <w:sz w:val="20"/>
              </w:rPr>
              <w:t>BSPCE</w:t>
            </w:r>
          </w:p>
        </w:tc>
        <w:tc>
          <w:tcPr>
            <w:tcW w:w="0" w:type="auto"/>
            <w:hideMark/>
          </w:tcPr>
          <w:p w14:paraId="6070C04C" w14:textId="77777777" w:rsidR="00AC05BA" w:rsidRPr="00AC05BA" w:rsidRDefault="00AC05BA" w:rsidP="00AC05BA">
            <w:pPr>
              <w:jc w:val="left"/>
              <w:rPr>
                <w:rFonts w:ascii="Calibri" w:hAnsi="Calibri" w:cs="Calibri"/>
                <w:sz w:val="20"/>
              </w:rPr>
            </w:pPr>
            <w:r w:rsidRPr="00AC05BA">
              <w:rPr>
                <w:rFonts w:ascii="Calibri" w:hAnsi="Calibri" w:cs="Calibri"/>
                <w:sz w:val="20"/>
              </w:rPr>
              <w:t>Bon de souscription de parts de créateur d’entreprise</w:t>
            </w:r>
          </w:p>
        </w:tc>
      </w:tr>
    </w:tbl>
    <w:p w14:paraId="457151B8" w14:textId="77777777" w:rsidR="00AC05BA" w:rsidRPr="00AC05BA" w:rsidRDefault="00AC05BA" w:rsidP="00AC05BA">
      <w:pPr>
        <w:spacing w:after="0" w:line="240" w:lineRule="auto"/>
      </w:pPr>
      <w:r w:rsidRPr="00AC05BA">
        <w:t>Ces instruments associent des caractéristiques de financement et, selon les cas, un accès futur au capital. Leur régime précis dépend de l’instrument concerné.</w:t>
      </w:r>
    </w:p>
    <w:p w14:paraId="2758EC1E" w14:textId="77777777" w:rsidR="00AC05BA" w:rsidRPr="00AC05BA" w:rsidRDefault="00AC05BA" w:rsidP="00AC05BA">
      <w:pPr>
        <w:pStyle w:val="Titre1"/>
      </w:pPr>
      <w:r w:rsidRPr="00AC05BA">
        <w:t>30. Méthode pour analyser une augmentation de capital</w:t>
      </w:r>
    </w:p>
    <w:p w14:paraId="1967006F" w14:textId="789562EA" w:rsidR="00AC05BA" w:rsidRPr="00AC05BA" w:rsidRDefault="00AC05BA" w:rsidP="00AC05BA">
      <w:pPr>
        <w:spacing w:after="0" w:line="240" w:lineRule="auto"/>
        <w:rPr>
          <w:b/>
          <w:bCs/>
        </w:rPr>
      </w:pPr>
      <w:r w:rsidRPr="00AC05BA">
        <w:rPr>
          <w:b/>
          <w:bCs/>
        </w:rPr>
        <w:t xml:space="preserve">Étape 1 </w:t>
      </w:r>
      <w:r>
        <w:rPr>
          <w:b/>
          <w:bCs/>
        </w:rPr>
        <w:t>-</w:t>
      </w:r>
      <w:r w:rsidRPr="00AC05BA">
        <w:rPr>
          <w:b/>
          <w:bCs/>
        </w:rPr>
        <w:t xml:space="preserve"> Identifier la forme sociale</w:t>
      </w:r>
    </w:p>
    <w:p w14:paraId="1F886B62" w14:textId="1959AA01" w:rsidR="00AC05BA" w:rsidRPr="00AC05BA" w:rsidRDefault="00AC05BA">
      <w:pPr>
        <w:numPr>
          <w:ilvl w:val="0"/>
          <w:numId w:val="32"/>
        </w:numPr>
        <w:spacing w:after="0" w:line="240" w:lineRule="auto"/>
      </w:pPr>
      <w:r w:rsidRPr="00AC05BA">
        <w:t>SARL</w:t>
      </w:r>
      <w:r>
        <w:t> ?</w:t>
      </w:r>
    </w:p>
    <w:p w14:paraId="4F8C45E6" w14:textId="4B79E4CA" w:rsidR="00AC05BA" w:rsidRPr="00AC05BA" w:rsidRDefault="00AC05BA">
      <w:pPr>
        <w:numPr>
          <w:ilvl w:val="0"/>
          <w:numId w:val="32"/>
        </w:numPr>
        <w:spacing w:after="0" w:line="240" w:lineRule="auto"/>
      </w:pPr>
      <w:r w:rsidRPr="00AC05BA">
        <w:t>SAS</w:t>
      </w:r>
      <w:r>
        <w:t> ?</w:t>
      </w:r>
    </w:p>
    <w:p w14:paraId="53626457" w14:textId="3B423050" w:rsidR="00AC05BA" w:rsidRPr="00AC05BA" w:rsidRDefault="00AC05BA">
      <w:pPr>
        <w:numPr>
          <w:ilvl w:val="0"/>
          <w:numId w:val="32"/>
        </w:numPr>
        <w:spacing w:after="0" w:line="240" w:lineRule="auto"/>
      </w:pPr>
      <w:r w:rsidRPr="00AC05BA">
        <w:t>SA</w:t>
      </w:r>
      <w:r>
        <w:t> ?</w:t>
      </w:r>
    </w:p>
    <w:p w14:paraId="00B04B01" w14:textId="77777777" w:rsidR="00AC05BA" w:rsidRPr="00AC05BA" w:rsidRDefault="00AC05BA" w:rsidP="00AC05BA">
      <w:pPr>
        <w:spacing w:after="0" w:line="240" w:lineRule="auto"/>
      </w:pPr>
      <w:r w:rsidRPr="00AC05BA">
        <w:lastRenderedPageBreak/>
        <w:t>Les règles de décision et de majorité diffèrent.</w:t>
      </w:r>
    </w:p>
    <w:p w14:paraId="063A2056" w14:textId="3025B37D" w:rsidR="00AC05BA" w:rsidRPr="00AC05BA" w:rsidRDefault="00AC05BA" w:rsidP="00AC05BA">
      <w:pPr>
        <w:spacing w:after="0" w:line="240" w:lineRule="auto"/>
        <w:rPr>
          <w:b/>
          <w:bCs/>
        </w:rPr>
      </w:pPr>
      <w:r w:rsidRPr="00AC05BA">
        <w:rPr>
          <w:b/>
          <w:bCs/>
        </w:rPr>
        <w:t xml:space="preserve">Étape 2 </w:t>
      </w:r>
      <w:r>
        <w:rPr>
          <w:b/>
          <w:bCs/>
        </w:rPr>
        <w:t>-</w:t>
      </w:r>
      <w:r w:rsidRPr="00AC05BA">
        <w:rPr>
          <w:b/>
          <w:bCs/>
        </w:rPr>
        <w:t xml:space="preserve"> Identifier la technique</w:t>
      </w:r>
    </w:p>
    <w:p w14:paraId="7EF734D8" w14:textId="785AA724" w:rsidR="00AC05BA" w:rsidRPr="00AC05BA" w:rsidRDefault="00AC05BA">
      <w:pPr>
        <w:numPr>
          <w:ilvl w:val="0"/>
          <w:numId w:val="33"/>
        </w:numPr>
        <w:spacing w:after="0" w:line="240" w:lineRule="auto"/>
      </w:pPr>
      <w:r w:rsidRPr="00AC05BA">
        <w:t>numéraire</w:t>
      </w:r>
      <w:r>
        <w:t> ;</w:t>
      </w:r>
    </w:p>
    <w:p w14:paraId="6CB3313E" w14:textId="2EAA2998" w:rsidR="00AC05BA" w:rsidRPr="00AC05BA" w:rsidRDefault="00AC05BA">
      <w:pPr>
        <w:numPr>
          <w:ilvl w:val="0"/>
          <w:numId w:val="33"/>
        </w:numPr>
        <w:spacing w:after="0" w:line="240" w:lineRule="auto"/>
      </w:pPr>
      <w:r w:rsidRPr="00AC05BA">
        <w:t>nature</w:t>
      </w:r>
      <w:r>
        <w:t> ;</w:t>
      </w:r>
    </w:p>
    <w:p w14:paraId="31751255" w14:textId="1B7DE25B" w:rsidR="00AC05BA" w:rsidRPr="00AC05BA" w:rsidRDefault="00AC05BA">
      <w:pPr>
        <w:numPr>
          <w:ilvl w:val="0"/>
          <w:numId w:val="33"/>
        </w:numPr>
        <w:spacing w:after="0" w:line="240" w:lineRule="auto"/>
      </w:pPr>
      <w:r w:rsidRPr="00AC05BA">
        <w:t>compensation de créance</w:t>
      </w:r>
      <w:r>
        <w:t> ;</w:t>
      </w:r>
    </w:p>
    <w:p w14:paraId="734D15A0" w14:textId="77777777" w:rsidR="00AC05BA" w:rsidRPr="00AC05BA" w:rsidRDefault="00AC05BA">
      <w:pPr>
        <w:numPr>
          <w:ilvl w:val="0"/>
          <w:numId w:val="33"/>
        </w:numPr>
        <w:spacing w:after="0" w:line="240" w:lineRule="auto"/>
      </w:pPr>
      <w:r w:rsidRPr="00AC05BA">
        <w:t>incorporation de réserves.</w:t>
      </w:r>
    </w:p>
    <w:p w14:paraId="6F4397A7" w14:textId="53D3076A" w:rsidR="00AC05BA" w:rsidRPr="00AC05BA" w:rsidRDefault="00AC05BA" w:rsidP="00AC05BA">
      <w:pPr>
        <w:spacing w:after="0" w:line="240" w:lineRule="auto"/>
        <w:rPr>
          <w:b/>
          <w:bCs/>
        </w:rPr>
      </w:pPr>
      <w:r w:rsidRPr="00AC05BA">
        <w:rPr>
          <w:b/>
          <w:bCs/>
        </w:rPr>
        <w:t xml:space="preserve">Étape 3 </w:t>
      </w:r>
      <w:r>
        <w:rPr>
          <w:b/>
          <w:bCs/>
        </w:rPr>
        <w:t>-</w:t>
      </w:r>
      <w:r w:rsidRPr="00AC05BA">
        <w:rPr>
          <w:b/>
          <w:bCs/>
        </w:rPr>
        <w:t xml:space="preserve"> Identifier les bénéficiaires</w:t>
      </w:r>
    </w:p>
    <w:p w14:paraId="0F1DDDAD" w14:textId="0406BCD4" w:rsidR="00AC05BA" w:rsidRPr="00AC05BA" w:rsidRDefault="00AC05BA">
      <w:pPr>
        <w:numPr>
          <w:ilvl w:val="0"/>
          <w:numId w:val="34"/>
        </w:numPr>
        <w:spacing w:after="0" w:line="240" w:lineRule="auto"/>
      </w:pPr>
      <w:r w:rsidRPr="00AC05BA">
        <w:t>associés existants</w:t>
      </w:r>
      <w:r>
        <w:t> ;</w:t>
      </w:r>
    </w:p>
    <w:p w14:paraId="07CE0101" w14:textId="79C28C3A" w:rsidR="00AC05BA" w:rsidRPr="00AC05BA" w:rsidRDefault="00AC05BA">
      <w:pPr>
        <w:numPr>
          <w:ilvl w:val="0"/>
          <w:numId w:val="34"/>
        </w:numPr>
        <w:spacing w:after="0" w:line="240" w:lineRule="auto"/>
      </w:pPr>
      <w:r w:rsidRPr="00AC05BA">
        <w:t>nouveaux investisseurs</w:t>
      </w:r>
      <w:r>
        <w:t> ;</w:t>
      </w:r>
    </w:p>
    <w:p w14:paraId="05093DF6" w14:textId="77777777" w:rsidR="00AC05BA" w:rsidRPr="00AC05BA" w:rsidRDefault="00AC05BA">
      <w:pPr>
        <w:numPr>
          <w:ilvl w:val="0"/>
          <w:numId w:val="34"/>
        </w:numPr>
        <w:spacing w:after="0" w:line="240" w:lineRule="auto"/>
      </w:pPr>
      <w:r w:rsidRPr="00AC05BA">
        <w:t>personne déterminée.</w:t>
      </w:r>
    </w:p>
    <w:p w14:paraId="4E9ABB7E" w14:textId="10507BDC" w:rsidR="00AC05BA" w:rsidRPr="00AC05BA" w:rsidRDefault="00AC05BA" w:rsidP="00AC05BA">
      <w:pPr>
        <w:spacing w:after="0" w:line="240" w:lineRule="auto"/>
        <w:rPr>
          <w:b/>
          <w:bCs/>
        </w:rPr>
      </w:pPr>
      <w:r w:rsidRPr="00AC05BA">
        <w:rPr>
          <w:b/>
          <w:bCs/>
        </w:rPr>
        <w:t xml:space="preserve">Étape 4 </w:t>
      </w:r>
      <w:r>
        <w:rPr>
          <w:b/>
          <w:bCs/>
        </w:rPr>
        <w:t>-</w:t>
      </w:r>
      <w:r w:rsidRPr="00AC05BA">
        <w:rPr>
          <w:b/>
          <w:bCs/>
        </w:rPr>
        <w:t xml:space="preserve"> Vérifier les droits des associés existants</w:t>
      </w:r>
    </w:p>
    <w:p w14:paraId="2117A24C" w14:textId="34CF11A4" w:rsidR="00AC05BA" w:rsidRPr="00AC05BA" w:rsidRDefault="00AC05BA" w:rsidP="00AC05BA">
      <w:pPr>
        <w:spacing w:after="0" w:line="240" w:lineRule="auto"/>
      </w:pPr>
      <w:r w:rsidRPr="00AC05BA">
        <w:t>Pour une société par actions</w:t>
      </w:r>
      <w:r>
        <w:t> :</w:t>
      </w:r>
    </w:p>
    <w:p w14:paraId="22BA0910" w14:textId="55D42F70" w:rsidR="00AC05BA" w:rsidRPr="00AC05BA" w:rsidRDefault="00AC05BA">
      <w:pPr>
        <w:numPr>
          <w:ilvl w:val="0"/>
          <w:numId w:val="35"/>
        </w:numPr>
        <w:spacing w:after="0" w:line="240" w:lineRule="auto"/>
      </w:pPr>
      <w:r w:rsidRPr="00AC05BA">
        <w:t>DPS</w:t>
      </w:r>
      <w:r>
        <w:t> ?</w:t>
      </w:r>
    </w:p>
    <w:p w14:paraId="55FA8147" w14:textId="7528DA21" w:rsidR="00AC05BA" w:rsidRPr="00AC05BA" w:rsidRDefault="00AC05BA">
      <w:pPr>
        <w:numPr>
          <w:ilvl w:val="0"/>
          <w:numId w:val="35"/>
        </w:numPr>
        <w:spacing w:after="0" w:line="240" w:lineRule="auto"/>
      </w:pPr>
      <w:r w:rsidRPr="00AC05BA">
        <w:t>renonciation</w:t>
      </w:r>
      <w:r>
        <w:t> ?</w:t>
      </w:r>
    </w:p>
    <w:p w14:paraId="063E722A" w14:textId="62852BD8" w:rsidR="00AC05BA" w:rsidRPr="00AC05BA" w:rsidRDefault="00AC05BA">
      <w:pPr>
        <w:numPr>
          <w:ilvl w:val="0"/>
          <w:numId w:val="35"/>
        </w:numPr>
        <w:spacing w:after="0" w:line="240" w:lineRule="auto"/>
      </w:pPr>
      <w:r w:rsidRPr="00AC05BA">
        <w:t>suppression du DPS</w:t>
      </w:r>
      <w:r>
        <w:t> ?</w:t>
      </w:r>
    </w:p>
    <w:p w14:paraId="24AE61EB" w14:textId="74BE79DB" w:rsidR="00AC05BA" w:rsidRPr="00AC05BA" w:rsidRDefault="00AC05BA">
      <w:pPr>
        <w:numPr>
          <w:ilvl w:val="0"/>
          <w:numId w:val="35"/>
        </w:numPr>
        <w:spacing w:after="0" w:line="240" w:lineRule="auto"/>
      </w:pPr>
      <w:r w:rsidRPr="00AC05BA">
        <w:t>dilution</w:t>
      </w:r>
      <w:r>
        <w:t> ?</w:t>
      </w:r>
    </w:p>
    <w:p w14:paraId="50EF31BD" w14:textId="3FB33CA2" w:rsidR="00AC05BA" w:rsidRPr="00AC05BA" w:rsidRDefault="00AC05BA" w:rsidP="00AC05BA">
      <w:pPr>
        <w:spacing w:after="0" w:line="240" w:lineRule="auto"/>
        <w:rPr>
          <w:b/>
          <w:bCs/>
        </w:rPr>
      </w:pPr>
      <w:r w:rsidRPr="00AC05BA">
        <w:rPr>
          <w:b/>
          <w:bCs/>
        </w:rPr>
        <w:t xml:space="preserve">Étape 5 </w:t>
      </w:r>
      <w:r>
        <w:rPr>
          <w:b/>
          <w:bCs/>
        </w:rPr>
        <w:t>-</w:t>
      </w:r>
      <w:r w:rsidRPr="00AC05BA">
        <w:rPr>
          <w:b/>
          <w:bCs/>
        </w:rPr>
        <w:t xml:space="preserve"> Vérifier la libération</w:t>
      </w:r>
    </w:p>
    <w:p w14:paraId="0353F070" w14:textId="54DFB961" w:rsidR="00AC05BA" w:rsidRPr="00AC05BA" w:rsidRDefault="00AC05BA">
      <w:pPr>
        <w:numPr>
          <w:ilvl w:val="0"/>
          <w:numId w:val="36"/>
        </w:numPr>
        <w:spacing w:after="0" w:line="240" w:lineRule="auto"/>
      </w:pPr>
      <w:r w:rsidRPr="00AC05BA">
        <w:t>capital antérieur libéré</w:t>
      </w:r>
      <w:r>
        <w:t> ?</w:t>
      </w:r>
    </w:p>
    <w:p w14:paraId="463BA4D2" w14:textId="5DFD05E3" w:rsidR="00AC05BA" w:rsidRPr="00AC05BA" w:rsidRDefault="00AC05BA">
      <w:pPr>
        <w:numPr>
          <w:ilvl w:val="0"/>
          <w:numId w:val="36"/>
        </w:numPr>
        <w:spacing w:after="0" w:line="240" w:lineRule="auto"/>
      </w:pPr>
      <w:r w:rsidRPr="00AC05BA">
        <w:t>montant minimal immédiatement exigible</w:t>
      </w:r>
      <w:r>
        <w:t> ?</w:t>
      </w:r>
    </w:p>
    <w:p w14:paraId="792EE59A" w14:textId="4877BAF1" w:rsidR="00AC05BA" w:rsidRPr="00AC05BA" w:rsidRDefault="00AC05BA">
      <w:pPr>
        <w:numPr>
          <w:ilvl w:val="0"/>
          <w:numId w:val="36"/>
        </w:numPr>
        <w:spacing w:after="0" w:line="240" w:lineRule="auto"/>
      </w:pPr>
      <w:r w:rsidRPr="00AC05BA">
        <w:t>prime d’émission</w:t>
      </w:r>
      <w:r>
        <w:t> ?</w:t>
      </w:r>
    </w:p>
    <w:p w14:paraId="172B4992" w14:textId="16950687" w:rsidR="00AC05BA" w:rsidRPr="00AC05BA" w:rsidRDefault="00AC05BA" w:rsidP="00AC05BA">
      <w:pPr>
        <w:spacing w:after="0" w:line="240" w:lineRule="auto"/>
        <w:rPr>
          <w:b/>
          <w:bCs/>
        </w:rPr>
      </w:pPr>
      <w:r w:rsidRPr="00AC05BA">
        <w:rPr>
          <w:b/>
          <w:bCs/>
        </w:rPr>
        <w:t xml:space="preserve">Étape 6 </w:t>
      </w:r>
      <w:r>
        <w:rPr>
          <w:b/>
          <w:bCs/>
        </w:rPr>
        <w:t>-</w:t>
      </w:r>
      <w:r w:rsidRPr="00AC05BA">
        <w:rPr>
          <w:b/>
          <w:bCs/>
        </w:rPr>
        <w:t xml:space="preserve"> Rechercher les contrôles</w:t>
      </w:r>
    </w:p>
    <w:p w14:paraId="72B22CFE" w14:textId="5923EA8F" w:rsidR="00AC05BA" w:rsidRPr="00AC05BA" w:rsidRDefault="00AC05BA">
      <w:pPr>
        <w:numPr>
          <w:ilvl w:val="0"/>
          <w:numId w:val="37"/>
        </w:numPr>
        <w:spacing w:after="0" w:line="240" w:lineRule="auto"/>
      </w:pPr>
      <w:r w:rsidRPr="00AC05BA">
        <w:t>commissaire aux apports</w:t>
      </w:r>
      <w:r>
        <w:t> ;</w:t>
      </w:r>
    </w:p>
    <w:p w14:paraId="38750D00" w14:textId="2448BA1E" w:rsidR="00AC05BA" w:rsidRPr="00AC05BA" w:rsidRDefault="00AC05BA">
      <w:pPr>
        <w:numPr>
          <w:ilvl w:val="0"/>
          <w:numId w:val="37"/>
        </w:numPr>
        <w:spacing w:after="0" w:line="240" w:lineRule="auto"/>
      </w:pPr>
      <w:r w:rsidRPr="00AC05BA">
        <w:t>CAC</w:t>
      </w:r>
      <w:r>
        <w:t> ;</w:t>
      </w:r>
    </w:p>
    <w:p w14:paraId="7D80953C" w14:textId="745D2F96" w:rsidR="00AC05BA" w:rsidRPr="00AC05BA" w:rsidRDefault="00AC05BA">
      <w:pPr>
        <w:numPr>
          <w:ilvl w:val="0"/>
          <w:numId w:val="37"/>
        </w:numPr>
        <w:spacing w:after="0" w:line="240" w:lineRule="auto"/>
      </w:pPr>
      <w:r w:rsidRPr="00AC05BA">
        <w:t>rapport spécial</w:t>
      </w:r>
      <w:r>
        <w:t> ;</w:t>
      </w:r>
    </w:p>
    <w:p w14:paraId="48EA0FA4" w14:textId="77777777" w:rsidR="00AC05BA" w:rsidRPr="00AC05BA" w:rsidRDefault="00AC05BA">
      <w:pPr>
        <w:numPr>
          <w:ilvl w:val="0"/>
          <w:numId w:val="37"/>
        </w:numPr>
        <w:spacing w:after="0" w:line="240" w:lineRule="auto"/>
      </w:pPr>
      <w:r w:rsidRPr="00AC05BA">
        <w:t>certificat de compensation.</w:t>
      </w:r>
    </w:p>
    <w:p w14:paraId="5666CF55" w14:textId="12CCB826" w:rsidR="00AC05BA" w:rsidRPr="00AC05BA" w:rsidRDefault="00AC05BA" w:rsidP="00AC05BA">
      <w:pPr>
        <w:spacing w:after="0" w:line="240" w:lineRule="auto"/>
        <w:rPr>
          <w:b/>
          <w:bCs/>
        </w:rPr>
      </w:pPr>
      <w:r w:rsidRPr="00AC05BA">
        <w:rPr>
          <w:b/>
          <w:bCs/>
        </w:rPr>
        <w:t xml:space="preserve">Étape 7 </w:t>
      </w:r>
      <w:r>
        <w:rPr>
          <w:b/>
          <w:bCs/>
        </w:rPr>
        <w:t>-</w:t>
      </w:r>
      <w:r w:rsidRPr="00AC05BA">
        <w:rPr>
          <w:b/>
          <w:bCs/>
        </w:rPr>
        <w:t xml:space="preserve"> Mesurer les effets</w:t>
      </w:r>
    </w:p>
    <w:p w14:paraId="412CD808" w14:textId="70BC88C2" w:rsidR="00AC05BA" w:rsidRPr="00AC05BA" w:rsidRDefault="00AC05BA">
      <w:pPr>
        <w:numPr>
          <w:ilvl w:val="0"/>
          <w:numId w:val="38"/>
        </w:numPr>
        <w:spacing w:after="0" w:line="240" w:lineRule="auto"/>
      </w:pPr>
      <w:r w:rsidRPr="00AC05BA">
        <w:t>trésorerie</w:t>
      </w:r>
      <w:r>
        <w:t> ;</w:t>
      </w:r>
    </w:p>
    <w:p w14:paraId="706870D0" w14:textId="606586C1" w:rsidR="00AC05BA" w:rsidRPr="00AC05BA" w:rsidRDefault="00AC05BA">
      <w:pPr>
        <w:numPr>
          <w:ilvl w:val="0"/>
          <w:numId w:val="38"/>
        </w:numPr>
        <w:spacing w:after="0" w:line="240" w:lineRule="auto"/>
      </w:pPr>
      <w:r w:rsidRPr="00AC05BA">
        <w:t>capitaux propres</w:t>
      </w:r>
      <w:r>
        <w:t> ;</w:t>
      </w:r>
    </w:p>
    <w:p w14:paraId="71BCC775" w14:textId="4A31C9F5" w:rsidR="00AC05BA" w:rsidRPr="00AC05BA" w:rsidRDefault="00AC05BA">
      <w:pPr>
        <w:numPr>
          <w:ilvl w:val="0"/>
          <w:numId w:val="38"/>
        </w:numPr>
        <w:spacing w:after="0" w:line="240" w:lineRule="auto"/>
      </w:pPr>
      <w:r w:rsidRPr="00AC05BA">
        <w:t>endettement</w:t>
      </w:r>
      <w:r>
        <w:t> ;</w:t>
      </w:r>
    </w:p>
    <w:p w14:paraId="723CC2EB" w14:textId="540F8E5A" w:rsidR="00AC05BA" w:rsidRPr="00AC05BA" w:rsidRDefault="00AC05BA">
      <w:pPr>
        <w:numPr>
          <w:ilvl w:val="0"/>
          <w:numId w:val="38"/>
        </w:numPr>
        <w:spacing w:after="0" w:line="240" w:lineRule="auto"/>
      </w:pPr>
      <w:r w:rsidRPr="00AC05BA">
        <w:t>répartition du capital</w:t>
      </w:r>
      <w:r>
        <w:t> ;</w:t>
      </w:r>
    </w:p>
    <w:p w14:paraId="200EB579" w14:textId="77777777" w:rsidR="00AC05BA" w:rsidRPr="00AC05BA" w:rsidRDefault="00AC05BA">
      <w:pPr>
        <w:numPr>
          <w:ilvl w:val="0"/>
          <w:numId w:val="38"/>
        </w:numPr>
        <w:spacing w:after="0" w:line="240" w:lineRule="auto"/>
      </w:pPr>
      <w:r w:rsidRPr="00AC05BA">
        <w:t>contrôle.</w:t>
      </w:r>
    </w:p>
    <w:p w14:paraId="6F549F6C" w14:textId="77777777" w:rsidR="00AC05BA" w:rsidRPr="00AC05BA" w:rsidRDefault="00AC05BA" w:rsidP="00AC05BA">
      <w:pPr>
        <w:pStyle w:val="Titre1"/>
      </w:pPr>
      <w:r w:rsidRPr="00AC05BA">
        <w:t>31. Méthode pour analyser une réduction de capital</w:t>
      </w:r>
    </w:p>
    <w:p w14:paraId="1C74E27B" w14:textId="08728A2A" w:rsidR="00AC05BA" w:rsidRPr="00AC05BA" w:rsidRDefault="00AC05BA" w:rsidP="00AC05BA">
      <w:pPr>
        <w:spacing w:after="0" w:line="240" w:lineRule="auto"/>
      </w:pPr>
      <w:r w:rsidRPr="00AC05BA">
        <w:t>Il faut d’abord répondre à une question</w:t>
      </w:r>
      <w:r>
        <w:t> :</w:t>
      </w:r>
    </w:p>
    <w:p w14:paraId="4B21400E" w14:textId="4F7B432A" w:rsidR="00AC05BA" w:rsidRPr="00AC05BA" w:rsidRDefault="00AC05BA" w:rsidP="00AC05BA">
      <w:pPr>
        <w:spacing w:after="0" w:line="240" w:lineRule="auto"/>
      </w:pPr>
      <w:r w:rsidRPr="00AC05BA">
        <w:rPr>
          <w:b/>
          <w:bCs/>
        </w:rPr>
        <w:lastRenderedPageBreak/>
        <w:t>La réduction est-elle motivée par des pertes</w:t>
      </w:r>
      <w:r>
        <w:rPr>
          <w:b/>
          <w:bCs/>
        </w:rPr>
        <w:t> ?</w:t>
      </w:r>
    </w:p>
    <w:p w14:paraId="55A33BD7" w14:textId="77777777" w:rsidR="00AC05BA" w:rsidRPr="00AC05BA" w:rsidRDefault="00AC05BA" w:rsidP="00AC05BA">
      <w:pPr>
        <w:spacing w:after="0" w:line="240" w:lineRule="auto"/>
        <w:rPr>
          <w:b/>
          <w:bCs/>
        </w:rPr>
      </w:pPr>
      <w:r w:rsidRPr="00AC05BA">
        <w:rPr>
          <w:b/>
          <w:bCs/>
        </w:rPr>
        <w:t>Si oui</w:t>
      </w:r>
    </w:p>
    <w:p w14:paraId="723B9061" w14:textId="68351941" w:rsidR="00AC05BA" w:rsidRPr="00AC05BA" w:rsidRDefault="00AC05BA" w:rsidP="00AC05BA">
      <w:pPr>
        <w:spacing w:after="0" w:line="240" w:lineRule="auto"/>
      </w:pPr>
      <w:r w:rsidRPr="00AC05BA">
        <w:t>Analyser</w:t>
      </w:r>
      <w:r>
        <w:t> :</w:t>
      </w:r>
    </w:p>
    <w:p w14:paraId="721EBAF1" w14:textId="4B0D0F3C" w:rsidR="00AC05BA" w:rsidRPr="00AC05BA" w:rsidRDefault="00AC05BA">
      <w:pPr>
        <w:numPr>
          <w:ilvl w:val="0"/>
          <w:numId w:val="39"/>
        </w:numPr>
        <w:spacing w:after="0" w:line="240" w:lineRule="auto"/>
      </w:pPr>
      <w:r w:rsidRPr="00AC05BA">
        <w:t>pertes à absorber</w:t>
      </w:r>
      <w:r>
        <w:t> ;</w:t>
      </w:r>
    </w:p>
    <w:p w14:paraId="1FF6AA5C" w14:textId="7160ABBF" w:rsidR="00AC05BA" w:rsidRPr="00AC05BA" w:rsidRDefault="00AC05BA">
      <w:pPr>
        <w:numPr>
          <w:ilvl w:val="0"/>
          <w:numId w:val="39"/>
        </w:numPr>
        <w:spacing w:after="0" w:line="240" w:lineRule="auto"/>
      </w:pPr>
      <w:r w:rsidRPr="00AC05BA">
        <w:t>capitaux propres</w:t>
      </w:r>
      <w:r>
        <w:t> ;</w:t>
      </w:r>
    </w:p>
    <w:p w14:paraId="54F25A2C" w14:textId="1F12B7D4" w:rsidR="00AC05BA" w:rsidRPr="00AC05BA" w:rsidRDefault="00AC05BA">
      <w:pPr>
        <w:numPr>
          <w:ilvl w:val="0"/>
          <w:numId w:val="39"/>
        </w:numPr>
        <w:spacing w:after="0" w:line="240" w:lineRule="auto"/>
      </w:pPr>
      <w:r w:rsidRPr="00AC05BA">
        <w:t>éventuelle augmentation ultérieure</w:t>
      </w:r>
      <w:r>
        <w:t> ;</w:t>
      </w:r>
    </w:p>
    <w:p w14:paraId="707A2026" w14:textId="77777777" w:rsidR="00AC05BA" w:rsidRPr="00AC05BA" w:rsidRDefault="00AC05BA">
      <w:pPr>
        <w:numPr>
          <w:ilvl w:val="0"/>
          <w:numId w:val="39"/>
        </w:numPr>
        <w:spacing w:after="0" w:line="240" w:lineRule="auto"/>
      </w:pPr>
      <w:r w:rsidRPr="00AC05BA">
        <w:t>coup d’accordéon.</w:t>
      </w:r>
    </w:p>
    <w:p w14:paraId="18304DAA" w14:textId="77777777" w:rsidR="00AC05BA" w:rsidRPr="00AC05BA" w:rsidRDefault="00AC05BA" w:rsidP="00AC05BA">
      <w:pPr>
        <w:spacing w:after="0" w:line="240" w:lineRule="auto"/>
        <w:rPr>
          <w:b/>
          <w:bCs/>
        </w:rPr>
      </w:pPr>
      <w:r w:rsidRPr="00AC05BA">
        <w:rPr>
          <w:b/>
          <w:bCs/>
        </w:rPr>
        <w:t>Si non</w:t>
      </w:r>
    </w:p>
    <w:p w14:paraId="10202FFA" w14:textId="7CA5A47C" w:rsidR="00AC05BA" w:rsidRPr="00AC05BA" w:rsidRDefault="00AC05BA" w:rsidP="00AC05BA">
      <w:pPr>
        <w:spacing w:after="0" w:line="240" w:lineRule="auto"/>
      </w:pPr>
      <w:r w:rsidRPr="00AC05BA">
        <w:t>Analyser également</w:t>
      </w:r>
      <w:r>
        <w:t> :</w:t>
      </w:r>
    </w:p>
    <w:p w14:paraId="3DDD4CA8" w14:textId="56E937A8" w:rsidR="00AC05BA" w:rsidRPr="00AC05BA" w:rsidRDefault="00AC05BA">
      <w:pPr>
        <w:numPr>
          <w:ilvl w:val="0"/>
          <w:numId w:val="40"/>
        </w:numPr>
        <w:spacing w:after="0" w:line="240" w:lineRule="auto"/>
      </w:pPr>
      <w:r w:rsidRPr="00AC05BA">
        <w:t>égalité des associés</w:t>
      </w:r>
      <w:r>
        <w:t> ;</w:t>
      </w:r>
    </w:p>
    <w:p w14:paraId="6DD2A3C4" w14:textId="1120B39C" w:rsidR="00AC05BA" w:rsidRPr="00AC05BA" w:rsidRDefault="00AC05BA">
      <w:pPr>
        <w:numPr>
          <w:ilvl w:val="0"/>
          <w:numId w:val="40"/>
        </w:numPr>
        <w:spacing w:after="0" w:line="240" w:lineRule="auto"/>
      </w:pPr>
      <w:r w:rsidRPr="00AC05BA">
        <w:t>remboursement ou annulation de titres</w:t>
      </w:r>
      <w:r>
        <w:t> ;</w:t>
      </w:r>
    </w:p>
    <w:p w14:paraId="44E19522" w14:textId="75A0367C" w:rsidR="00AC05BA" w:rsidRPr="00AC05BA" w:rsidRDefault="00AC05BA">
      <w:pPr>
        <w:numPr>
          <w:ilvl w:val="0"/>
          <w:numId w:val="40"/>
        </w:numPr>
        <w:spacing w:after="0" w:line="240" w:lineRule="auto"/>
      </w:pPr>
      <w:r w:rsidRPr="00AC05BA">
        <w:t>droits des créanciers</w:t>
      </w:r>
      <w:r>
        <w:t> ;</w:t>
      </w:r>
    </w:p>
    <w:p w14:paraId="1D2307CE" w14:textId="77777777" w:rsidR="00AC05BA" w:rsidRPr="00AC05BA" w:rsidRDefault="00AC05BA">
      <w:pPr>
        <w:numPr>
          <w:ilvl w:val="0"/>
          <w:numId w:val="40"/>
        </w:numPr>
        <w:spacing w:after="0" w:line="240" w:lineRule="auto"/>
      </w:pPr>
      <w:r w:rsidRPr="00AC05BA">
        <w:t>délai d’opposition.</w:t>
      </w:r>
    </w:p>
    <w:p w14:paraId="63EF2421" w14:textId="77777777" w:rsidR="00AC05BA" w:rsidRPr="00AC05BA" w:rsidRDefault="00AC05BA" w:rsidP="00AC05BA">
      <w:pPr>
        <w:spacing w:after="0" w:line="240" w:lineRule="auto"/>
      </w:pPr>
      <w:r w:rsidRPr="00AC05BA">
        <w:t>Cette qualification détermine donc une partie essentielle du régime juridique. (</w:t>
      </w:r>
      <w:hyperlink r:id="rId46" w:tooltip="De la réduction du capital. (Articles L225-204 à L225-205) - Légifrance" w:history="1">
        <w:r w:rsidRPr="00AC05BA">
          <w:rPr>
            <w:rStyle w:val="Lienhypertexte"/>
          </w:rPr>
          <w:t>Légifrance</w:t>
        </w:r>
      </w:hyperlink>
      <w:r w:rsidRPr="00AC05BA">
        <w:t>)</w:t>
      </w:r>
    </w:p>
    <w:p w14:paraId="6849EBF7" w14:textId="77777777" w:rsidR="00AC05BA" w:rsidRPr="00AC05BA" w:rsidRDefault="00AC05BA" w:rsidP="00AC05BA">
      <w:pPr>
        <w:pStyle w:val="Titre1"/>
      </w:pPr>
      <w:r w:rsidRPr="00AC05BA">
        <w:t>32. Méthode pour choisir entre capital et emprunt</w:t>
      </w:r>
    </w:p>
    <w:tbl>
      <w:tblPr>
        <w:tblStyle w:val="Grilledutableau"/>
        <w:tblW w:w="0" w:type="auto"/>
        <w:tblLook w:val="04A0" w:firstRow="1" w:lastRow="0" w:firstColumn="1" w:lastColumn="0" w:noHBand="0" w:noVBand="1"/>
      </w:tblPr>
      <w:tblGrid>
        <w:gridCol w:w="4124"/>
        <w:gridCol w:w="1848"/>
        <w:gridCol w:w="3562"/>
      </w:tblGrid>
      <w:tr w:rsidR="00AC05BA" w:rsidRPr="00AC05BA" w14:paraId="73FD806C" w14:textId="77777777" w:rsidTr="00AC05BA">
        <w:trPr>
          <w:tblHeader/>
        </w:trPr>
        <w:tc>
          <w:tcPr>
            <w:tcW w:w="0" w:type="auto"/>
            <w:hideMark/>
          </w:tcPr>
          <w:p w14:paraId="76EE44BC" w14:textId="77777777" w:rsidR="00AC05BA" w:rsidRPr="00AC05BA" w:rsidRDefault="00AC05BA" w:rsidP="00AC05BA">
            <w:pPr>
              <w:jc w:val="left"/>
              <w:rPr>
                <w:rFonts w:ascii="Calibri" w:hAnsi="Calibri" w:cs="Calibri"/>
                <w:b/>
                <w:bCs/>
                <w:sz w:val="20"/>
              </w:rPr>
            </w:pPr>
            <w:r w:rsidRPr="00AC05BA">
              <w:rPr>
                <w:rFonts w:ascii="Calibri" w:hAnsi="Calibri" w:cs="Calibri"/>
                <w:b/>
                <w:bCs/>
                <w:sz w:val="20"/>
              </w:rPr>
              <w:t>Question</w:t>
            </w:r>
          </w:p>
        </w:tc>
        <w:tc>
          <w:tcPr>
            <w:tcW w:w="0" w:type="auto"/>
            <w:hideMark/>
          </w:tcPr>
          <w:p w14:paraId="2DCFD09E" w14:textId="77777777" w:rsidR="00AC05BA" w:rsidRPr="00AC05BA" w:rsidRDefault="00AC05BA" w:rsidP="00AC05BA">
            <w:pPr>
              <w:jc w:val="left"/>
              <w:rPr>
                <w:rFonts w:ascii="Calibri" w:hAnsi="Calibri" w:cs="Calibri"/>
                <w:b/>
                <w:bCs/>
                <w:sz w:val="20"/>
              </w:rPr>
            </w:pPr>
            <w:r w:rsidRPr="00AC05BA">
              <w:rPr>
                <w:rFonts w:ascii="Calibri" w:hAnsi="Calibri" w:cs="Calibri"/>
                <w:b/>
                <w:bCs/>
                <w:sz w:val="20"/>
              </w:rPr>
              <w:t>Capital</w:t>
            </w:r>
          </w:p>
        </w:tc>
        <w:tc>
          <w:tcPr>
            <w:tcW w:w="0" w:type="auto"/>
            <w:hideMark/>
          </w:tcPr>
          <w:p w14:paraId="1882FBAB" w14:textId="77777777" w:rsidR="00AC05BA" w:rsidRPr="00AC05BA" w:rsidRDefault="00AC05BA" w:rsidP="00AC05BA">
            <w:pPr>
              <w:jc w:val="left"/>
              <w:rPr>
                <w:rFonts w:ascii="Calibri" w:hAnsi="Calibri" w:cs="Calibri"/>
                <w:b/>
                <w:bCs/>
                <w:sz w:val="20"/>
              </w:rPr>
            </w:pPr>
            <w:r w:rsidRPr="00AC05BA">
              <w:rPr>
                <w:rFonts w:ascii="Calibri" w:hAnsi="Calibri" w:cs="Calibri"/>
                <w:b/>
                <w:bCs/>
                <w:sz w:val="20"/>
              </w:rPr>
              <w:t>Emprunt</w:t>
            </w:r>
          </w:p>
        </w:tc>
      </w:tr>
      <w:tr w:rsidR="00AC05BA" w:rsidRPr="00AC05BA" w14:paraId="778580CC" w14:textId="77777777" w:rsidTr="00AC05BA">
        <w:tc>
          <w:tcPr>
            <w:tcW w:w="0" w:type="auto"/>
            <w:hideMark/>
          </w:tcPr>
          <w:p w14:paraId="5F349D01" w14:textId="3025E135" w:rsidR="00AC05BA" w:rsidRPr="00AC05BA" w:rsidRDefault="00AC05BA" w:rsidP="00AC05BA">
            <w:pPr>
              <w:jc w:val="left"/>
              <w:rPr>
                <w:rFonts w:ascii="Calibri" w:hAnsi="Calibri" w:cs="Calibri"/>
                <w:sz w:val="20"/>
              </w:rPr>
            </w:pPr>
            <w:r w:rsidRPr="00AC05BA">
              <w:rPr>
                <w:rFonts w:ascii="Calibri" w:hAnsi="Calibri" w:cs="Calibri"/>
                <w:sz w:val="20"/>
              </w:rPr>
              <w:t>La société peut-elle rembourser régulièrement</w:t>
            </w:r>
            <w:r w:rsidRPr="00AC05BA">
              <w:rPr>
                <w:rFonts w:ascii="Calibri" w:hAnsi="Calibri" w:cs="Calibri"/>
                <w:sz w:val="20"/>
              </w:rPr>
              <w:t> ?</w:t>
            </w:r>
          </w:p>
        </w:tc>
        <w:tc>
          <w:tcPr>
            <w:tcW w:w="0" w:type="auto"/>
            <w:hideMark/>
          </w:tcPr>
          <w:p w14:paraId="00780D41" w14:textId="77777777" w:rsidR="00AC05BA" w:rsidRPr="00AC05BA" w:rsidRDefault="00AC05BA" w:rsidP="00AC05BA">
            <w:pPr>
              <w:jc w:val="left"/>
              <w:rPr>
                <w:rFonts w:ascii="Calibri" w:hAnsi="Calibri" w:cs="Calibri"/>
                <w:sz w:val="20"/>
              </w:rPr>
            </w:pPr>
            <w:r w:rsidRPr="00AC05BA">
              <w:rPr>
                <w:rFonts w:ascii="Calibri" w:hAnsi="Calibri" w:cs="Calibri"/>
                <w:sz w:val="20"/>
              </w:rPr>
              <w:t>Pas déterminant</w:t>
            </w:r>
          </w:p>
        </w:tc>
        <w:tc>
          <w:tcPr>
            <w:tcW w:w="0" w:type="auto"/>
            <w:hideMark/>
          </w:tcPr>
          <w:p w14:paraId="18A11A95" w14:textId="77777777" w:rsidR="00AC05BA" w:rsidRPr="00AC05BA" w:rsidRDefault="00AC05BA" w:rsidP="00AC05BA">
            <w:pPr>
              <w:jc w:val="left"/>
              <w:rPr>
                <w:rFonts w:ascii="Calibri" w:hAnsi="Calibri" w:cs="Calibri"/>
                <w:sz w:val="20"/>
              </w:rPr>
            </w:pPr>
            <w:r w:rsidRPr="00AC05BA">
              <w:rPr>
                <w:rFonts w:ascii="Calibri" w:hAnsi="Calibri" w:cs="Calibri"/>
                <w:sz w:val="20"/>
              </w:rPr>
              <w:t>Essentiel</w:t>
            </w:r>
          </w:p>
        </w:tc>
      </w:tr>
      <w:tr w:rsidR="00AC05BA" w:rsidRPr="00AC05BA" w14:paraId="5ED002BC" w14:textId="77777777" w:rsidTr="00AC05BA">
        <w:tc>
          <w:tcPr>
            <w:tcW w:w="0" w:type="auto"/>
            <w:hideMark/>
          </w:tcPr>
          <w:p w14:paraId="57AB0011" w14:textId="2C38EB47" w:rsidR="00AC05BA" w:rsidRPr="00AC05BA" w:rsidRDefault="00AC05BA" w:rsidP="00AC05BA">
            <w:pPr>
              <w:jc w:val="left"/>
              <w:rPr>
                <w:rFonts w:ascii="Calibri" w:hAnsi="Calibri" w:cs="Calibri"/>
                <w:sz w:val="20"/>
              </w:rPr>
            </w:pPr>
            <w:r w:rsidRPr="00AC05BA">
              <w:rPr>
                <w:rFonts w:ascii="Calibri" w:hAnsi="Calibri" w:cs="Calibri"/>
                <w:sz w:val="20"/>
              </w:rPr>
              <w:t>Les associés acceptent-ils une dilution</w:t>
            </w:r>
            <w:r w:rsidRPr="00AC05BA">
              <w:rPr>
                <w:rFonts w:ascii="Calibri" w:hAnsi="Calibri" w:cs="Calibri"/>
                <w:sz w:val="20"/>
              </w:rPr>
              <w:t> ?</w:t>
            </w:r>
          </w:p>
        </w:tc>
        <w:tc>
          <w:tcPr>
            <w:tcW w:w="0" w:type="auto"/>
            <w:hideMark/>
          </w:tcPr>
          <w:p w14:paraId="562E6843" w14:textId="77777777" w:rsidR="00AC05BA" w:rsidRPr="00AC05BA" w:rsidRDefault="00AC05BA" w:rsidP="00AC05BA">
            <w:pPr>
              <w:jc w:val="left"/>
              <w:rPr>
                <w:rFonts w:ascii="Calibri" w:hAnsi="Calibri" w:cs="Calibri"/>
                <w:sz w:val="20"/>
              </w:rPr>
            </w:pPr>
            <w:r w:rsidRPr="00AC05BA">
              <w:rPr>
                <w:rFonts w:ascii="Calibri" w:hAnsi="Calibri" w:cs="Calibri"/>
                <w:sz w:val="20"/>
              </w:rPr>
              <w:t>À examiner</w:t>
            </w:r>
          </w:p>
        </w:tc>
        <w:tc>
          <w:tcPr>
            <w:tcW w:w="0" w:type="auto"/>
            <w:hideMark/>
          </w:tcPr>
          <w:p w14:paraId="4D62B53F" w14:textId="77777777" w:rsidR="00AC05BA" w:rsidRPr="00AC05BA" w:rsidRDefault="00AC05BA" w:rsidP="00AC05BA">
            <w:pPr>
              <w:jc w:val="left"/>
              <w:rPr>
                <w:rFonts w:ascii="Calibri" w:hAnsi="Calibri" w:cs="Calibri"/>
                <w:sz w:val="20"/>
              </w:rPr>
            </w:pPr>
            <w:r w:rsidRPr="00AC05BA">
              <w:rPr>
                <w:rFonts w:ascii="Calibri" w:hAnsi="Calibri" w:cs="Calibri"/>
                <w:sz w:val="20"/>
              </w:rPr>
              <w:t>Pas de dilution</w:t>
            </w:r>
          </w:p>
        </w:tc>
      </w:tr>
      <w:tr w:rsidR="00AC05BA" w:rsidRPr="00AC05BA" w14:paraId="65C3A323" w14:textId="77777777" w:rsidTr="00AC05BA">
        <w:tc>
          <w:tcPr>
            <w:tcW w:w="0" w:type="auto"/>
            <w:hideMark/>
          </w:tcPr>
          <w:p w14:paraId="6D05BFC2" w14:textId="02E0DF3A" w:rsidR="00AC05BA" w:rsidRPr="00AC05BA" w:rsidRDefault="00AC05BA" w:rsidP="00AC05BA">
            <w:pPr>
              <w:jc w:val="left"/>
              <w:rPr>
                <w:rFonts w:ascii="Calibri" w:hAnsi="Calibri" w:cs="Calibri"/>
                <w:sz w:val="20"/>
              </w:rPr>
            </w:pPr>
            <w:r w:rsidRPr="00AC05BA">
              <w:rPr>
                <w:rFonts w:ascii="Calibri" w:hAnsi="Calibri" w:cs="Calibri"/>
                <w:sz w:val="20"/>
              </w:rPr>
              <w:t>Veut-on renforcer les capitaux propres</w:t>
            </w:r>
            <w:r w:rsidRPr="00AC05BA">
              <w:rPr>
                <w:rFonts w:ascii="Calibri" w:hAnsi="Calibri" w:cs="Calibri"/>
                <w:sz w:val="20"/>
              </w:rPr>
              <w:t> ?</w:t>
            </w:r>
          </w:p>
        </w:tc>
        <w:tc>
          <w:tcPr>
            <w:tcW w:w="0" w:type="auto"/>
            <w:hideMark/>
          </w:tcPr>
          <w:p w14:paraId="109A7109" w14:textId="77777777" w:rsidR="00AC05BA" w:rsidRPr="00AC05BA" w:rsidRDefault="00AC05BA" w:rsidP="00AC05BA">
            <w:pPr>
              <w:jc w:val="left"/>
              <w:rPr>
                <w:rFonts w:ascii="Calibri" w:hAnsi="Calibri" w:cs="Calibri"/>
                <w:sz w:val="20"/>
              </w:rPr>
            </w:pPr>
            <w:r w:rsidRPr="00AC05BA">
              <w:rPr>
                <w:rFonts w:ascii="Calibri" w:hAnsi="Calibri" w:cs="Calibri"/>
                <w:sz w:val="20"/>
              </w:rPr>
              <w:t>Très adapté</w:t>
            </w:r>
          </w:p>
        </w:tc>
        <w:tc>
          <w:tcPr>
            <w:tcW w:w="0" w:type="auto"/>
            <w:hideMark/>
          </w:tcPr>
          <w:p w14:paraId="0FEF2DFB" w14:textId="77777777" w:rsidR="00AC05BA" w:rsidRPr="00AC05BA" w:rsidRDefault="00AC05BA" w:rsidP="00AC05BA">
            <w:pPr>
              <w:jc w:val="left"/>
              <w:rPr>
                <w:rFonts w:ascii="Calibri" w:hAnsi="Calibri" w:cs="Calibri"/>
                <w:sz w:val="20"/>
              </w:rPr>
            </w:pPr>
            <w:r w:rsidRPr="00AC05BA">
              <w:rPr>
                <w:rFonts w:ascii="Calibri" w:hAnsi="Calibri" w:cs="Calibri"/>
                <w:sz w:val="20"/>
              </w:rPr>
              <w:t>Non</w:t>
            </w:r>
          </w:p>
        </w:tc>
      </w:tr>
      <w:tr w:rsidR="00AC05BA" w:rsidRPr="00AC05BA" w14:paraId="0F4B9F92" w14:textId="77777777" w:rsidTr="00AC05BA">
        <w:tc>
          <w:tcPr>
            <w:tcW w:w="0" w:type="auto"/>
            <w:hideMark/>
          </w:tcPr>
          <w:p w14:paraId="1D567552" w14:textId="448CF314" w:rsidR="00AC05BA" w:rsidRPr="00AC05BA" w:rsidRDefault="00AC05BA" w:rsidP="00AC05BA">
            <w:pPr>
              <w:jc w:val="left"/>
              <w:rPr>
                <w:rFonts w:ascii="Calibri" w:hAnsi="Calibri" w:cs="Calibri"/>
                <w:sz w:val="20"/>
              </w:rPr>
            </w:pPr>
            <w:r w:rsidRPr="00AC05BA">
              <w:rPr>
                <w:rFonts w:ascii="Calibri" w:hAnsi="Calibri" w:cs="Calibri"/>
                <w:sz w:val="20"/>
              </w:rPr>
              <w:t>Veut-on conserver le contrôle</w:t>
            </w:r>
            <w:r w:rsidRPr="00AC05BA">
              <w:rPr>
                <w:rFonts w:ascii="Calibri" w:hAnsi="Calibri" w:cs="Calibri"/>
                <w:sz w:val="20"/>
              </w:rPr>
              <w:t> ?</w:t>
            </w:r>
          </w:p>
        </w:tc>
        <w:tc>
          <w:tcPr>
            <w:tcW w:w="0" w:type="auto"/>
            <w:hideMark/>
          </w:tcPr>
          <w:p w14:paraId="18DF8B15" w14:textId="77777777" w:rsidR="00AC05BA" w:rsidRPr="00AC05BA" w:rsidRDefault="00AC05BA" w:rsidP="00AC05BA">
            <w:pPr>
              <w:jc w:val="left"/>
              <w:rPr>
                <w:rFonts w:ascii="Calibri" w:hAnsi="Calibri" w:cs="Calibri"/>
                <w:sz w:val="20"/>
              </w:rPr>
            </w:pPr>
            <w:r w:rsidRPr="00AC05BA">
              <w:rPr>
                <w:rFonts w:ascii="Calibri" w:hAnsi="Calibri" w:cs="Calibri"/>
                <w:sz w:val="20"/>
              </w:rPr>
              <w:t>Peut poser difficulté</w:t>
            </w:r>
          </w:p>
        </w:tc>
        <w:tc>
          <w:tcPr>
            <w:tcW w:w="0" w:type="auto"/>
            <w:hideMark/>
          </w:tcPr>
          <w:p w14:paraId="52E75242" w14:textId="77777777" w:rsidR="00AC05BA" w:rsidRPr="00AC05BA" w:rsidRDefault="00AC05BA" w:rsidP="00AC05BA">
            <w:pPr>
              <w:jc w:val="left"/>
              <w:rPr>
                <w:rFonts w:ascii="Calibri" w:hAnsi="Calibri" w:cs="Calibri"/>
                <w:sz w:val="20"/>
              </w:rPr>
            </w:pPr>
            <w:r w:rsidRPr="00AC05BA">
              <w:rPr>
                <w:rFonts w:ascii="Calibri" w:hAnsi="Calibri" w:cs="Calibri"/>
                <w:sz w:val="20"/>
              </w:rPr>
              <w:t>Plus protecteur du contrôle</w:t>
            </w:r>
          </w:p>
        </w:tc>
      </w:tr>
      <w:tr w:rsidR="00AC05BA" w:rsidRPr="00AC05BA" w14:paraId="306DF74D" w14:textId="77777777" w:rsidTr="00AC05BA">
        <w:tc>
          <w:tcPr>
            <w:tcW w:w="0" w:type="auto"/>
            <w:hideMark/>
          </w:tcPr>
          <w:p w14:paraId="63356599" w14:textId="7BCC026D" w:rsidR="00AC05BA" w:rsidRPr="00AC05BA" w:rsidRDefault="00AC05BA" w:rsidP="00AC05BA">
            <w:pPr>
              <w:jc w:val="left"/>
              <w:rPr>
                <w:rFonts w:ascii="Calibri" w:hAnsi="Calibri" w:cs="Calibri"/>
                <w:sz w:val="20"/>
              </w:rPr>
            </w:pPr>
            <w:r w:rsidRPr="00AC05BA">
              <w:rPr>
                <w:rFonts w:ascii="Calibri" w:hAnsi="Calibri" w:cs="Calibri"/>
                <w:sz w:val="20"/>
              </w:rPr>
              <w:t>Le niveau d’endettement est-il déjà élevé</w:t>
            </w:r>
            <w:r w:rsidRPr="00AC05BA">
              <w:rPr>
                <w:rFonts w:ascii="Calibri" w:hAnsi="Calibri" w:cs="Calibri"/>
                <w:sz w:val="20"/>
              </w:rPr>
              <w:t> ?</w:t>
            </w:r>
          </w:p>
        </w:tc>
        <w:tc>
          <w:tcPr>
            <w:tcW w:w="0" w:type="auto"/>
            <w:hideMark/>
          </w:tcPr>
          <w:p w14:paraId="12879C51" w14:textId="77777777" w:rsidR="00AC05BA" w:rsidRPr="00AC05BA" w:rsidRDefault="00AC05BA" w:rsidP="00AC05BA">
            <w:pPr>
              <w:jc w:val="left"/>
              <w:rPr>
                <w:rFonts w:ascii="Calibri" w:hAnsi="Calibri" w:cs="Calibri"/>
                <w:sz w:val="20"/>
              </w:rPr>
            </w:pPr>
            <w:r w:rsidRPr="00AC05BA">
              <w:rPr>
                <w:rFonts w:ascii="Calibri" w:hAnsi="Calibri" w:cs="Calibri"/>
                <w:sz w:val="20"/>
              </w:rPr>
              <w:t>Peut rééquilibrer</w:t>
            </w:r>
          </w:p>
        </w:tc>
        <w:tc>
          <w:tcPr>
            <w:tcW w:w="0" w:type="auto"/>
            <w:hideMark/>
          </w:tcPr>
          <w:p w14:paraId="77847AF5" w14:textId="77777777" w:rsidR="00AC05BA" w:rsidRPr="00AC05BA" w:rsidRDefault="00AC05BA" w:rsidP="00AC05BA">
            <w:pPr>
              <w:jc w:val="left"/>
              <w:rPr>
                <w:rFonts w:ascii="Calibri" w:hAnsi="Calibri" w:cs="Calibri"/>
                <w:sz w:val="20"/>
              </w:rPr>
            </w:pPr>
            <w:r w:rsidRPr="00AC05BA">
              <w:rPr>
                <w:rFonts w:ascii="Calibri" w:hAnsi="Calibri" w:cs="Calibri"/>
                <w:sz w:val="20"/>
              </w:rPr>
              <w:t>Peut aggraver</w:t>
            </w:r>
          </w:p>
        </w:tc>
      </w:tr>
      <w:tr w:rsidR="00AC05BA" w:rsidRPr="00AC05BA" w14:paraId="78D514C6" w14:textId="77777777" w:rsidTr="00AC05BA">
        <w:tc>
          <w:tcPr>
            <w:tcW w:w="0" w:type="auto"/>
            <w:hideMark/>
          </w:tcPr>
          <w:p w14:paraId="05B506D7" w14:textId="1EFEF2E0" w:rsidR="00AC05BA" w:rsidRPr="00AC05BA" w:rsidRDefault="00AC05BA" w:rsidP="00AC05BA">
            <w:pPr>
              <w:jc w:val="left"/>
              <w:rPr>
                <w:rFonts w:ascii="Calibri" w:hAnsi="Calibri" w:cs="Calibri"/>
                <w:sz w:val="20"/>
              </w:rPr>
            </w:pPr>
            <w:r w:rsidRPr="00AC05BA">
              <w:rPr>
                <w:rFonts w:ascii="Calibri" w:hAnsi="Calibri" w:cs="Calibri"/>
                <w:sz w:val="20"/>
              </w:rPr>
              <w:t>Investisseurs prêts à supporter le risque</w:t>
            </w:r>
            <w:r w:rsidRPr="00AC05BA">
              <w:rPr>
                <w:rFonts w:ascii="Calibri" w:hAnsi="Calibri" w:cs="Calibri"/>
                <w:sz w:val="20"/>
              </w:rPr>
              <w:t> ?</w:t>
            </w:r>
          </w:p>
        </w:tc>
        <w:tc>
          <w:tcPr>
            <w:tcW w:w="0" w:type="auto"/>
            <w:hideMark/>
          </w:tcPr>
          <w:p w14:paraId="0CD40C9F" w14:textId="77777777" w:rsidR="00AC05BA" w:rsidRPr="00AC05BA" w:rsidRDefault="00AC05BA" w:rsidP="00AC05BA">
            <w:pPr>
              <w:jc w:val="left"/>
              <w:rPr>
                <w:rFonts w:ascii="Calibri" w:hAnsi="Calibri" w:cs="Calibri"/>
                <w:sz w:val="20"/>
              </w:rPr>
            </w:pPr>
            <w:r w:rsidRPr="00AC05BA">
              <w:rPr>
                <w:rFonts w:ascii="Calibri" w:hAnsi="Calibri" w:cs="Calibri"/>
                <w:sz w:val="20"/>
              </w:rPr>
              <w:t>Nécessaire</w:t>
            </w:r>
          </w:p>
        </w:tc>
        <w:tc>
          <w:tcPr>
            <w:tcW w:w="0" w:type="auto"/>
            <w:hideMark/>
          </w:tcPr>
          <w:p w14:paraId="3DF4F12D" w14:textId="77777777" w:rsidR="00AC05BA" w:rsidRPr="00AC05BA" w:rsidRDefault="00AC05BA" w:rsidP="00AC05BA">
            <w:pPr>
              <w:jc w:val="left"/>
              <w:rPr>
                <w:rFonts w:ascii="Calibri" w:hAnsi="Calibri" w:cs="Calibri"/>
                <w:sz w:val="20"/>
              </w:rPr>
            </w:pPr>
            <w:r w:rsidRPr="00AC05BA">
              <w:rPr>
                <w:rFonts w:ascii="Calibri" w:hAnsi="Calibri" w:cs="Calibri"/>
                <w:sz w:val="20"/>
              </w:rPr>
              <w:t>Créanciers supportent un risque différent</w:t>
            </w:r>
          </w:p>
        </w:tc>
      </w:tr>
      <w:tr w:rsidR="00AC05BA" w:rsidRPr="00AC05BA" w14:paraId="08FC26F8" w14:textId="77777777" w:rsidTr="00AC05BA">
        <w:tc>
          <w:tcPr>
            <w:tcW w:w="0" w:type="auto"/>
            <w:hideMark/>
          </w:tcPr>
          <w:p w14:paraId="218AF06F" w14:textId="793A2CB6" w:rsidR="00AC05BA" w:rsidRPr="00AC05BA" w:rsidRDefault="00AC05BA" w:rsidP="00AC05BA">
            <w:pPr>
              <w:jc w:val="left"/>
              <w:rPr>
                <w:rFonts w:ascii="Calibri" w:hAnsi="Calibri" w:cs="Calibri"/>
                <w:sz w:val="20"/>
              </w:rPr>
            </w:pPr>
            <w:r w:rsidRPr="00AC05BA">
              <w:rPr>
                <w:rFonts w:ascii="Calibri" w:hAnsi="Calibri" w:cs="Calibri"/>
                <w:sz w:val="20"/>
              </w:rPr>
              <w:t>Besoin temporaire</w:t>
            </w:r>
            <w:r w:rsidRPr="00AC05BA">
              <w:rPr>
                <w:rFonts w:ascii="Calibri" w:hAnsi="Calibri" w:cs="Calibri"/>
                <w:sz w:val="20"/>
              </w:rPr>
              <w:t> ?</w:t>
            </w:r>
          </w:p>
        </w:tc>
        <w:tc>
          <w:tcPr>
            <w:tcW w:w="0" w:type="auto"/>
            <w:hideMark/>
          </w:tcPr>
          <w:p w14:paraId="6A369994" w14:textId="77777777" w:rsidR="00AC05BA" w:rsidRPr="00AC05BA" w:rsidRDefault="00AC05BA" w:rsidP="00AC05BA">
            <w:pPr>
              <w:jc w:val="left"/>
              <w:rPr>
                <w:rFonts w:ascii="Calibri" w:hAnsi="Calibri" w:cs="Calibri"/>
                <w:sz w:val="20"/>
              </w:rPr>
            </w:pPr>
            <w:r w:rsidRPr="00AC05BA">
              <w:rPr>
                <w:rFonts w:ascii="Calibri" w:hAnsi="Calibri" w:cs="Calibri"/>
                <w:sz w:val="20"/>
              </w:rPr>
              <w:t>Moins naturel</w:t>
            </w:r>
          </w:p>
        </w:tc>
        <w:tc>
          <w:tcPr>
            <w:tcW w:w="0" w:type="auto"/>
            <w:hideMark/>
          </w:tcPr>
          <w:p w14:paraId="4BAEB901" w14:textId="77777777" w:rsidR="00AC05BA" w:rsidRPr="00AC05BA" w:rsidRDefault="00AC05BA" w:rsidP="00AC05BA">
            <w:pPr>
              <w:jc w:val="left"/>
              <w:rPr>
                <w:rFonts w:ascii="Calibri" w:hAnsi="Calibri" w:cs="Calibri"/>
                <w:sz w:val="20"/>
              </w:rPr>
            </w:pPr>
            <w:r w:rsidRPr="00AC05BA">
              <w:rPr>
                <w:rFonts w:ascii="Calibri" w:hAnsi="Calibri" w:cs="Calibri"/>
                <w:sz w:val="20"/>
              </w:rPr>
              <w:t>Souvent adapté</w:t>
            </w:r>
          </w:p>
        </w:tc>
      </w:tr>
      <w:tr w:rsidR="00AC05BA" w:rsidRPr="00AC05BA" w14:paraId="24C3D232" w14:textId="77777777" w:rsidTr="00AC05BA">
        <w:tc>
          <w:tcPr>
            <w:tcW w:w="0" w:type="auto"/>
            <w:hideMark/>
          </w:tcPr>
          <w:p w14:paraId="4C6FB622" w14:textId="69FEE1AC" w:rsidR="00AC05BA" w:rsidRPr="00AC05BA" w:rsidRDefault="00AC05BA" w:rsidP="00AC05BA">
            <w:pPr>
              <w:jc w:val="left"/>
              <w:rPr>
                <w:rFonts w:ascii="Calibri" w:hAnsi="Calibri" w:cs="Calibri"/>
                <w:sz w:val="20"/>
              </w:rPr>
            </w:pPr>
            <w:r w:rsidRPr="00AC05BA">
              <w:rPr>
                <w:rFonts w:ascii="Calibri" w:hAnsi="Calibri" w:cs="Calibri"/>
                <w:sz w:val="20"/>
              </w:rPr>
              <w:t>Besoin structurel à long terme</w:t>
            </w:r>
            <w:r w:rsidRPr="00AC05BA">
              <w:rPr>
                <w:rFonts w:ascii="Calibri" w:hAnsi="Calibri" w:cs="Calibri"/>
                <w:sz w:val="20"/>
              </w:rPr>
              <w:t> ?</w:t>
            </w:r>
          </w:p>
        </w:tc>
        <w:tc>
          <w:tcPr>
            <w:tcW w:w="0" w:type="auto"/>
            <w:hideMark/>
          </w:tcPr>
          <w:p w14:paraId="74AB1F79" w14:textId="77777777" w:rsidR="00AC05BA" w:rsidRPr="00AC05BA" w:rsidRDefault="00AC05BA" w:rsidP="00AC05BA">
            <w:pPr>
              <w:jc w:val="left"/>
              <w:rPr>
                <w:rFonts w:ascii="Calibri" w:hAnsi="Calibri" w:cs="Calibri"/>
                <w:sz w:val="20"/>
              </w:rPr>
            </w:pPr>
            <w:r w:rsidRPr="00AC05BA">
              <w:rPr>
                <w:rFonts w:ascii="Calibri" w:hAnsi="Calibri" w:cs="Calibri"/>
                <w:sz w:val="20"/>
              </w:rPr>
              <w:t>Souvent pertinent</w:t>
            </w:r>
          </w:p>
        </w:tc>
        <w:tc>
          <w:tcPr>
            <w:tcW w:w="0" w:type="auto"/>
            <w:hideMark/>
          </w:tcPr>
          <w:p w14:paraId="63E35F17" w14:textId="77777777" w:rsidR="00AC05BA" w:rsidRPr="00AC05BA" w:rsidRDefault="00AC05BA" w:rsidP="00AC05BA">
            <w:pPr>
              <w:jc w:val="left"/>
              <w:rPr>
                <w:rFonts w:ascii="Calibri" w:hAnsi="Calibri" w:cs="Calibri"/>
                <w:sz w:val="20"/>
              </w:rPr>
            </w:pPr>
            <w:r w:rsidRPr="00AC05BA">
              <w:rPr>
                <w:rFonts w:ascii="Calibri" w:hAnsi="Calibri" w:cs="Calibri"/>
                <w:sz w:val="20"/>
              </w:rPr>
              <w:t>Possible selon capacité financière</w:t>
            </w:r>
          </w:p>
        </w:tc>
      </w:tr>
    </w:tbl>
    <w:p w14:paraId="07637DAB" w14:textId="77777777" w:rsidR="00AC05BA" w:rsidRPr="00AC05BA" w:rsidRDefault="00AC05BA" w:rsidP="00AC05BA">
      <w:pPr>
        <w:spacing w:after="0" w:line="240" w:lineRule="auto"/>
      </w:pPr>
      <w:r w:rsidRPr="00AC05BA">
        <w:t>La décision ne peut donc pas reposer uniquement sur le coût apparent du financement.</w:t>
      </w:r>
    </w:p>
    <w:p w14:paraId="0ED8B0C3" w14:textId="77777777" w:rsidR="00AC05BA" w:rsidRPr="00AC05BA" w:rsidRDefault="00AC05BA" w:rsidP="00AC05BA">
      <w:pPr>
        <w:pStyle w:val="Titre1"/>
      </w:pPr>
      <w:r w:rsidRPr="00AC05BA">
        <w:t>33. Points essentiels</w:t>
      </w:r>
    </w:p>
    <w:p w14:paraId="2A01DFB0" w14:textId="77777777" w:rsidR="00AC05BA" w:rsidRPr="00AC05BA" w:rsidRDefault="00AC05BA">
      <w:pPr>
        <w:numPr>
          <w:ilvl w:val="0"/>
          <w:numId w:val="41"/>
        </w:numPr>
        <w:spacing w:after="0" w:line="240" w:lineRule="auto"/>
      </w:pPr>
      <w:r w:rsidRPr="00AC05BA">
        <w:t xml:space="preserve">Une augmentation de capital renforce les </w:t>
      </w:r>
      <w:r w:rsidRPr="00AC05BA">
        <w:rPr>
          <w:b/>
          <w:bCs/>
        </w:rPr>
        <w:t>capitaux propres</w:t>
      </w:r>
      <w:r w:rsidRPr="00AC05BA">
        <w:t>.</w:t>
      </w:r>
    </w:p>
    <w:p w14:paraId="24EF3B48" w14:textId="77777777" w:rsidR="00AC05BA" w:rsidRPr="00AC05BA" w:rsidRDefault="00AC05BA">
      <w:pPr>
        <w:numPr>
          <w:ilvl w:val="0"/>
          <w:numId w:val="41"/>
        </w:numPr>
        <w:spacing w:after="0" w:line="240" w:lineRule="auto"/>
      </w:pPr>
      <w:r w:rsidRPr="00AC05BA">
        <w:t xml:space="preserve">Un emprunt obligataire crée une </w:t>
      </w:r>
      <w:r w:rsidRPr="00AC05BA">
        <w:rPr>
          <w:b/>
          <w:bCs/>
        </w:rPr>
        <w:t>dette</w:t>
      </w:r>
      <w:r w:rsidRPr="00AC05BA">
        <w:t>.</w:t>
      </w:r>
    </w:p>
    <w:p w14:paraId="08C1F28E" w14:textId="77777777" w:rsidR="00AC05BA" w:rsidRPr="00AC05BA" w:rsidRDefault="00AC05BA">
      <w:pPr>
        <w:numPr>
          <w:ilvl w:val="0"/>
          <w:numId w:val="41"/>
        </w:numPr>
        <w:spacing w:after="0" w:line="240" w:lineRule="auto"/>
      </w:pPr>
      <w:r w:rsidRPr="00AC05BA">
        <w:t xml:space="preserve">Un compte courant d’associé constitue également une </w:t>
      </w:r>
      <w:r w:rsidRPr="00AC05BA">
        <w:rPr>
          <w:b/>
          <w:bCs/>
        </w:rPr>
        <w:t>créance contre la société</w:t>
      </w:r>
      <w:r w:rsidRPr="00AC05BA">
        <w:t>.</w:t>
      </w:r>
    </w:p>
    <w:p w14:paraId="1382EA4F" w14:textId="77777777" w:rsidR="00AC05BA" w:rsidRPr="00AC05BA" w:rsidRDefault="00AC05BA">
      <w:pPr>
        <w:numPr>
          <w:ilvl w:val="0"/>
          <w:numId w:val="41"/>
        </w:numPr>
        <w:spacing w:after="0" w:line="240" w:lineRule="auto"/>
      </w:pPr>
      <w:r w:rsidRPr="00AC05BA">
        <w:t>Une augmentation peut être réalisée par numéraire, nature, compensation de créance ou incorporation de réserves, bénéfices ou primes.</w:t>
      </w:r>
    </w:p>
    <w:p w14:paraId="20639F6F" w14:textId="77777777" w:rsidR="00AC05BA" w:rsidRPr="00AC05BA" w:rsidRDefault="00AC05BA">
      <w:pPr>
        <w:numPr>
          <w:ilvl w:val="0"/>
          <w:numId w:val="41"/>
        </w:numPr>
        <w:spacing w:after="0" w:line="240" w:lineRule="auto"/>
      </w:pPr>
      <w:r w:rsidRPr="00AC05BA">
        <w:t xml:space="preserve">Une incorporation de réserves n’apporte </w:t>
      </w:r>
      <w:r w:rsidRPr="00AC05BA">
        <w:rPr>
          <w:b/>
          <w:bCs/>
        </w:rPr>
        <w:t>aucune trésorerie nouvelle</w:t>
      </w:r>
      <w:r w:rsidRPr="00AC05BA">
        <w:t>.</w:t>
      </w:r>
    </w:p>
    <w:p w14:paraId="28E82AC9" w14:textId="77777777" w:rsidR="00AC05BA" w:rsidRPr="00AC05BA" w:rsidRDefault="00AC05BA">
      <w:pPr>
        <w:numPr>
          <w:ilvl w:val="0"/>
          <w:numId w:val="41"/>
        </w:numPr>
        <w:spacing w:after="0" w:line="240" w:lineRule="auto"/>
      </w:pPr>
      <w:r w:rsidRPr="00AC05BA">
        <w:lastRenderedPageBreak/>
        <w:t>La prime d’émission permet notamment de tenir compte de la valeur acquise par la société.</w:t>
      </w:r>
    </w:p>
    <w:p w14:paraId="6DBE231B" w14:textId="77777777" w:rsidR="00AC05BA" w:rsidRPr="00AC05BA" w:rsidRDefault="00AC05BA">
      <w:pPr>
        <w:numPr>
          <w:ilvl w:val="0"/>
          <w:numId w:val="41"/>
        </w:numPr>
        <w:spacing w:after="0" w:line="240" w:lineRule="auto"/>
      </w:pPr>
      <w:r w:rsidRPr="00AC05BA">
        <w:t xml:space="preserve">Le </w:t>
      </w:r>
      <w:r w:rsidRPr="00AC05BA">
        <w:rPr>
          <w:b/>
          <w:bCs/>
        </w:rPr>
        <w:t>DPS</w:t>
      </w:r>
      <w:r w:rsidRPr="00AC05BA">
        <w:t xml:space="preserve"> protège les actionnaires contre la dilution lors des augmentations en numéraire.</w:t>
      </w:r>
    </w:p>
    <w:p w14:paraId="3255A497" w14:textId="77777777" w:rsidR="00AC05BA" w:rsidRPr="00AC05BA" w:rsidRDefault="00AC05BA">
      <w:pPr>
        <w:numPr>
          <w:ilvl w:val="0"/>
          <w:numId w:val="41"/>
        </w:numPr>
        <w:spacing w:after="0" w:line="240" w:lineRule="auto"/>
      </w:pPr>
      <w:r w:rsidRPr="00AC05BA">
        <w:t>Le DPS peut être abandonné individuellement ou supprimé collectivement selon les conditions légales.</w:t>
      </w:r>
    </w:p>
    <w:p w14:paraId="1A981058" w14:textId="77777777" w:rsidR="00AC05BA" w:rsidRPr="00AC05BA" w:rsidRDefault="00AC05BA">
      <w:pPr>
        <w:numPr>
          <w:ilvl w:val="0"/>
          <w:numId w:val="41"/>
        </w:numPr>
        <w:spacing w:after="0" w:line="240" w:lineRule="auto"/>
      </w:pPr>
      <w:r w:rsidRPr="00AC05BA">
        <w:t>L’incorporation de réserves peut conduire à l’attribution gratuite de nouveaux titres.</w:t>
      </w:r>
    </w:p>
    <w:p w14:paraId="56B7D17D" w14:textId="77777777" w:rsidR="00AC05BA" w:rsidRPr="00AC05BA" w:rsidRDefault="00AC05BA">
      <w:pPr>
        <w:numPr>
          <w:ilvl w:val="0"/>
          <w:numId w:val="41"/>
        </w:numPr>
        <w:spacing w:after="0" w:line="240" w:lineRule="auto"/>
      </w:pPr>
      <w:r w:rsidRPr="00AC05BA">
        <w:t>Une compensation de créance transforme une dette en capital sans entrée nouvelle de liquidités.</w:t>
      </w:r>
    </w:p>
    <w:p w14:paraId="64EC9A39" w14:textId="77777777" w:rsidR="00AC05BA" w:rsidRPr="00AC05BA" w:rsidRDefault="00AC05BA">
      <w:pPr>
        <w:numPr>
          <w:ilvl w:val="0"/>
          <w:numId w:val="41"/>
        </w:numPr>
        <w:spacing w:after="0" w:line="240" w:lineRule="auto"/>
      </w:pPr>
      <w:r w:rsidRPr="00AC05BA">
        <w:t>Les actions de préférence peuvent comporter des droits particuliers.</w:t>
      </w:r>
    </w:p>
    <w:p w14:paraId="63E57989" w14:textId="77777777" w:rsidR="00AC05BA" w:rsidRPr="00AC05BA" w:rsidRDefault="00AC05BA">
      <w:pPr>
        <w:numPr>
          <w:ilvl w:val="0"/>
          <w:numId w:val="41"/>
        </w:numPr>
        <w:spacing w:after="0" w:line="240" w:lineRule="auto"/>
      </w:pPr>
      <w:r w:rsidRPr="00AC05BA">
        <w:t>Une réduction de capital peut être motivée ou non par des pertes.</w:t>
      </w:r>
    </w:p>
    <w:p w14:paraId="75746E22" w14:textId="77777777" w:rsidR="00AC05BA" w:rsidRPr="00AC05BA" w:rsidRDefault="00AC05BA">
      <w:pPr>
        <w:numPr>
          <w:ilvl w:val="0"/>
          <w:numId w:val="41"/>
        </w:numPr>
        <w:spacing w:after="0" w:line="240" w:lineRule="auto"/>
      </w:pPr>
      <w:r w:rsidRPr="00AC05BA">
        <w:t>Une réduction non motivée par des pertes ouvre des droits particuliers aux créanciers.</w:t>
      </w:r>
    </w:p>
    <w:p w14:paraId="0EB207BD" w14:textId="77777777" w:rsidR="00AC05BA" w:rsidRPr="00AC05BA" w:rsidRDefault="00AC05BA">
      <w:pPr>
        <w:numPr>
          <w:ilvl w:val="0"/>
          <w:numId w:val="41"/>
        </w:numPr>
        <w:spacing w:after="0" w:line="240" w:lineRule="auto"/>
      </w:pPr>
      <w:r w:rsidRPr="00AC05BA">
        <w:t xml:space="preserve">Le délai d’opposition est actuellement de </w:t>
      </w:r>
      <w:r w:rsidRPr="00AC05BA">
        <w:rPr>
          <w:b/>
          <w:bCs/>
        </w:rPr>
        <w:t>20 jours en SA</w:t>
      </w:r>
      <w:r w:rsidRPr="00AC05BA">
        <w:t xml:space="preserve"> et </w:t>
      </w:r>
      <w:r w:rsidRPr="00AC05BA">
        <w:rPr>
          <w:b/>
          <w:bCs/>
        </w:rPr>
        <w:t>un mois en SARL</w:t>
      </w:r>
      <w:r w:rsidRPr="00AC05BA">
        <w:t>.</w:t>
      </w:r>
    </w:p>
    <w:p w14:paraId="5EDF9B06" w14:textId="77777777" w:rsidR="00AC05BA" w:rsidRPr="00AC05BA" w:rsidRDefault="00AC05BA">
      <w:pPr>
        <w:numPr>
          <w:ilvl w:val="0"/>
          <w:numId w:val="41"/>
        </w:numPr>
        <w:spacing w:after="0" w:line="240" w:lineRule="auto"/>
      </w:pPr>
      <w:r w:rsidRPr="00AC05BA">
        <w:t>Le coup d’accordéon combine réduction puis augmentation de capital.</w:t>
      </w:r>
    </w:p>
    <w:p w14:paraId="434B2C51" w14:textId="77777777" w:rsidR="00AC05BA" w:rsidRPr="00AC05BA" w:rsidRDefault="00AC05BA">
      <w:pPr>
        <w:numPr>
          <w:ilvl w:val="0"/>
          <w:numId w:val="41"/>
        </w:numPr>
        <w:spacing w:after="0" w:line="240" w:lineRule="auto"/>
      </w:pPr>
      <w:r w:rsidRPr="00AC05BA">
        <w:t>Des capitaux propres inférieurs à la moitié du capital ne provoquent pas une dissolution automatique.</w:t>
      </w:r>
    </w:p>
    <w:p w14:paraId="35EFF1EC" w14:textId="77777777" w:rsidR="00AC05BA" w:rsidRPr="00AC05BA" w:rsidRDefault="00AC05BA">
      <w:pPr>
        <w:numPr>
          <w:ilvl w:val="0"/>
          <w:numId w:val="41"/>
        </w:numPr>
        <w:spacing w:after="0" w:line="240" w:lineRule="auto"/>
      </w:pPr>
      <w:r w:rsidRPr="00AC05BA">
        <w:t>La société dispose d’une procédure et de délais de régularisation.</w:t>
      </w:r>
    </w:p>
    <w:p w14:paraId="5120C40C" w14:textId="77777777" w:rsidR="00AC05BA" w:rsidRPr="00AC05BA" w:rsidRDefault="00AC05BA">
      <w:pPr>
        <w:numPr>
          <w:ilvl w:val="0"/>
          <w:numId w:val="41"/>
        </w:numPr>
        <w:spacing w:after="0" w:line="240" w:lineRule="auto"/>
      </w:pPr>
      <w:r w:rsidRPr="00AC05BA">
        <w:t xml:space="preserve">L’obligataire est un </w:t>
      </w:r>
      <w:r w:rsidRPr="00AC05BA">
        <w:rPr>
          <w:b/>
          <w:bCs/>
        </w:rPr>
        <w:t>créancier</w:t>
      </w:r>
      <w:r w:rsidRPr="00AC05BA">
        <w:t>, et non un actionnaire.</w:t>
      </w:r>
    </w:p>
    <w:p w14:paraId="710DEDFA" w14:textId="77777777" w:rsidR="00AC05BA" w:rsidRPr="00AC05BA" w:rsidRDefault="00AC05BA">
      <w:pPr>
        <w:numPr>
          <w:ilvl w:val="0"/>
          <w:numId w:val="41"/>
        </w:numPr>
        <w:spacing w:after="0" w:line="240" w:lineRule="auto"/>
      </w:pPr>
      <w:r w:rsidRPr="00AC05BA">
        <w:t>Les sociétés par actions peuvent émettre des obligations sous les conditions légales.</w:t>
      </w:r>
    </w:p>
    <w:p w14:paraId="3E6F860F" w14:textId="77777777" w:rsidR="00AC05BA" w:rsidRPr="00AC05BA" w:rsidRDefault="00AC05BA">
      <w:pPr>
        <w:numPr>
          <w:ilvl w:val="0"/>
          <w:numId w:val="41"/>
        </w:numPr>
        <w:spacing w:after="0" w:line="240" w:lineRule="auto"/>
      </w:pPr>
      <w:r w:rsidRPr="00AC05BA">
        <w:t>Une société qui ne dispose pas encore de deux bilans régulièrement approuvés peut néanmoins émettre sous réserve du contrôle particulier prévu par la loi.</w:t>
      </w:r>
    </w:p>
    <w:p w14:paraId="5776B933" w14:textId="77777777" w:rsidR="00AC05BA" w:rsidRPr="00AC05BA" w:rsidRDefault="00AC05BA">
      <w:pPr>
        <w:numPr>
          <w:ilvl w:val="0"/>
          <w:numId w:val="41"/>
        </w:numPr>
        <w:spacing w:after="0" w:line="240" w:lineRule="auto"/>
      </w:pPr>
      <w:r w:rsidRPr="00AC05BA">
        <w:t>Le capital d’une société par actions doit en principe être intégralement libéré avant une émission obligataire.</w:t>
      </w:r>
    </w:p>
    <w:p w14:paraId="00ABCBDF" w14:textId="77777777" w:rsidR="00AC05BA" w:rsidRPr="00AC05BA" w:rsidRDefault="00AC05BA">
      <w:pPr>
        <w:numPr>
          <w:ilvl w:val="0"/>
          <w:numId w:val="41"/>
        </w:numPr>
        <w:spacing w:after="0" w:line="240" w:lineRule="auto"/>
      </w:pPr>
      <w:r w:rsidRPr="00AC05BA">
        <w:t>Une SARL peut également émettre certaines obligations si les conditions strictes de l’article L. 223-11 sont satisfaites.</w:t>
      </w:r>
    </w:p>
    <w:p w14:paraId="59B8E488" w14:textId="77777777" w:rsidR="00AC05BA" w:rsidRPr="00AC05BA" w:rsidRDefault="00AC05BA">
      <w:pPr>
        <w:numPr>
          <w:ilvl w:val="0"/>
          <w:numId w:val="41"/>
        </w:numPr>
        <w:spacing w:after="0" w:line="240" w:lineRule="auto"/>
      </w:pPr>
      <w:r w:rsidRPr="00AC05BA">
        <w:t xml:space="preserve">Les obligataires d’une même émission sont regroupés en une </w:t>
      </w:r>
      <w:r w:rsidRPr="00AC05BA">
        <w:rPr>
          <w:b/>
          <w:bCs/>
        </w:rPr>
        <w:t>masse</w:t>
      </w:r>
      <w:r w:rsidRPr="00AC05BA">
        <w:t xml:space="preserve"> dotée de la personnalité civile.</w:t>
      </w:r>
    </w:p>
    <w:p w14:paraId="252409EE" w14:textId="77777777" w:rsidR="00AC05BA" w:rsidRPr="00AC05BA" w:rsidRDefault="00AC05BA">
      <w:pPr>
        <w:numPr>
          <w:ilvl w:val="0"/>
          <w:numId w:val="41"/>
        </w:numPr>
        <w:spacing w:after="0" w:line="240" w:lineRule="auto"/>
      </w:pPr>
      <w:r w:rsidRPr="00AC05BA">
        <w:t>Le choix du financement doit intégrer simultanément le coût, la solvabilité, la dilution, le contrôle et la capacité de remboursement.</w:t>
      </w:r>
    </w:p>
    <w:p w14:paraId="729DAA34" w14:textId="77777777" w:rsidR="00AC05BA" w:rsidRPr="00AC05BA" w:rsidRDefault="00AC05BA" w:rsidP="00AC05BA">
      <w:pPr>
        <w:pStyle w:val="Titre1"/>
      </w:pPr>
      <w:r w:rsidRPr="00AC05BA">
        <w:t>34. Droit applicable et évolutions</w:t>
      </w:r>
    </w:p>
    <w:p w14:paraId="25977651" w14:textId="77777777" w:rsidR="00AC05BA" w:rsidRPr="00AC05BA" w:rsidRDefault="00AC05BA" w:rsidP="00AC05BA">
      <w:pPr>
        <w:spacing w:after="0" w:line="240" w:lineRule="auto"/>
        <w:rPr>
          <w:b/>
          <w:bCs/>
        </w:rPr>
      </w:pPr>
      <w:r w:rsidRPr="00AC05BA">
        <w:rPr>
          <w:b/>
          <w:bCs/>
        </w:rPr>
        <w:t>Droit applicable au 12 août 2026</w:t>
      </w:r>
    </w:p>
    <w:p w14:paraId="3EA2CAC8" w14:textId="29D22DCB" w:rsidR="00AC05BA" w:rsidRPr="00AC05BA" w:rsidRDefault="00AC05BA" w:rsidP="00AC05BA">
      <w:pPr>
        <w:spacing w:after="0" w:line="240" w:lineRule="auto"/>
      </w:pPr>
      <w:r w:rsidRPr="00AC05BA">
        <w:t>Le droit applicable repose principalement sur</w:t>
      </w:r>
      <w:r>
        <w:t> :</w:t>
      </w:r>
    </w:p>
    <w:p w14:paraId="064A2DD5" w14:textId="0E6ABD36" w:rsidR="00AC05BA" w:rsidRPr="00AC05BA" w:rsidRDefault="00AC05BA">
      <w:pPr>
        <w:numPr>
          <w:ilvl w:val="0"/>
          <w:numId w:val="42"/>
        </w:numPr>
        <w:spacing w:after="0" w:line="240" w:lineRule="auto"/>
      </w:pPr>
      <w:r w:rsidRPr="00AC05BA">
        <w:t>les articles L. 225-127 et suivants pour l’augmentation de capital des sociétés par actions</w:t>
      </w:r>
      <w:r>
        <w:t> ;</w:t>
      </w:r>
    </w:p>
    <w:p w14:paraId="66CCE951" w14:textId="292EB8DE" w:rsidR="00AC05BA" w:rsidRPr="00AC05BA" w:rsidRDefault="00AC05BA">
      <w:pPr>
        <w:numPr>
          <w:ilvl w:val="0"/>
          <w:numId w:val="42"/>
        </w:numPr>
        <w:spacing w:after="0" w:line="240" w:lineRule="auto"/>
      </w:pPr>
      <w:r w:rsidRPr="00AC05BA">
        <w:t>les articles L. 225-204 et suivants pour leur réduction de capital</w:t>
      </w:r>
      <w:r>
        <w:t> ;</w:t>
      </w:r>
    </w:p>
    <w:p w14:paraId="5E1FB751" w14:textId="6D11DFA4" w:rsidR="00AC05BA" w:rsidRPr="00AC05BA" w:rsidRDefault="00AC05BA">
      <w:pPr>
        <w:numPr>
          <w:ilvl w:val="0"/>
          <w:numId w:val="42"/>
        </w:numPr>
        <w:spacing w:after="0" w:line="240" w:lineRule="auto"/>
      </w:pPr>
      <w:r w:rsidRPr="00AC05BA">
        <w:t>les articles L. 228-11 et suivants pour les actions de préférence</w:t>
      </w:r>
      <w:r>
        <w:t> ;</w:t>
      </w:r>
    </w:p>
    <w:p w14:paraId="01C8980A" w14:textId="41B2EF57" w:rsidR="00AC05BA" w:rsidRPr="00AC05BA" w:rsidRDefault="00AC05BA">
      <w:pPr>
        <w:numPr>
          <w:ilvl w:val="0"/>
          <w:numId w:val="42"/>
        </w:numPr>
        <w:spacing w:after="0" w:line="240" w:lineRule="auto"/>
      </w:pPr>
      <w:r w:rsidRPr="00AC05BA">
        <w:t>les articles L. 228-38 et suivants pour les obligations</w:t>
      </w:r>
      <w:r>
        <w:t> ;</w:t>
      </w:r>
    </w:p>
    <w:p w14:paraId="077D638B" w14:textId="4D5017C4" w:rsidR="00AC05BA" w:rsidRPr="00AC05BA" w:rsidRDefault="00AC05BA">
      <w:pPr>
        <w:numPr>
          <w:ilvl w:val="0"/>
          <w:numId w:val="42"/>
        </w:numPr>
        <w:spacing w:after="0" w:line="240" w:lineRule="auto"/>
      </w:pPr>
      <w:r w:rsidRPr="00AC05BA">
        <w:t>les articles L. 223-30 et suivants pour les modifications de capital de SARL</w:t>
      </w:r>
      <w:r>
        <w:t> ;</w:t>
      </w:r>
    </w:p>
    <w:p w14:paraId="70608FE8" w14:textId="77777777" w:rsidR="00AC05BA" w:rsidRPr="00AC05BA" w:rsidRDefault="00AC05BA">
      <w:pPr>
        <w:numPr>
          <w:ilvl w:val="0"/>
          <w:numId w:val="42"/>
        </w:numPr>
        <w:spacing w:after="0" w:line="240" w:lineRule="auto"/>
      </w:pPr>
      <w:r w:rsidRPr="00AC05BA">
        <w:t>l’article L. 223-11 pour l’émission d’obligations par une SARL. (</w:t>
      </w:r>
      <w:hyperlink r:id="rId47" w:tooltip="De l'augmentation du capital. (Articles L225-127 à L225-150)" w:history="1">
        <w:r w:rsidRPr="00AC05BA">
          <w:rPr>
            <w:rStyle w:val="Lienhypertexte"/>
          </w:rPr>
          <w:t>Légifrance</w:t>
        </w:r>
      </w:hyperlink>
      <w:r w:rsidRPr="00AC05BA">
        <w:t>)</w:t>
      </w:r>
    </w:p>
    <w:p w14:paraId="437DA1E5" w14:textId="77777777" w:rsidR="00AC05BA" w:rsidRPr="00AC05BA" w:rsidRDefault="00AC05BA" w:rsidP="00AC05BA">
      <w:pPr>
        <w:spacing w:after="0" w:line="240" w:lineRule="auto"/>
      </w:pPr>
      <w:r w:rsidRPr="00AC05BA">
        <w:t xml:space="preserve">Le régime des capitaux propres inférieurs à la moitié du capital intègre la réforme issue de 2023, qui a introduit un </w:t>
      </w:r>
      <w:r w:rsidRPr="00AC05BA">
        <w:rPr>
          <w:b/>
          <w:bCs/>
        </w:rPr>
        <w:t>délai supplémentaire de deux ans</w:t>
      </w:r>
      <w:r w:rsidRPr="00AC05BA">
        <w:t xml:space="preserve"> lorsque la première période de régularisation n’a pas permis de reconstituer les capitaux propres. (</w:t>
      </w:r>
      <w:hyperlink r:id="rId48" w:tooltip="Perte de la moitié des capitaux propres | Service Public Entreprendre" w:history="1">
        <w:r w:rsidRPr="00AC05BA">
          <w:rPr>
            <w:rStyle w:val="Lienhypertexte"/>
          </w:rPr>
          <w:t>Service Public Entreprendre</w:t>
        </w:r>
      </w:hyperlink>
      <w:r w:rsidRPr="00AC05BA">
        <w:t>)</w:t>
      </w:r>
    </w:p>
    <w:p w14:paraId="45B8AB07" w14:textId="77777777" w:rsidR="00AC05BA" w:rsidRPr="00AC05BA" w:rsidRDefault="00AC05BA" w:rsidP="00AC05BA">
      <w:pPr>
        <w:spacing w:after="0" w:line="240" w:lineRule="auto"/>
      </w:pPr>
      <w:r w:rsidRPr="00AC05BA">
        <w:lastRenderedPageBreak/>
        <w:t>Les actions de préférence sont régies par l’article L. 228-11 dans sa rédaction actuelle issue notamment des évolutions intervenues en 2024. (</w:t>
      </w:r>
      <w:hyperlink r:id="rId49" w:tooltip="Code de commerce - Article L228-11" w:history="1">
        <w:r w:rsidRPr="00AC05BA">
          <w:rPr>
            <w:rStyle w:val="Lienhypertexte"/>
          </w:rPr>
          <w:t>Légifrance</w:t>
        </w:r>
      </w:hyperlink>
      <w:r w:rsidRPr="00AC05BA">
        <w:t>)</w:t>
      </w:r>
    </w:p>
    <w:p w14:paraId="58860767" w14:textId="77777777" w:rsidR="00AC05BA" w:rsidRPr="00AC05BA" w:rsidRDefault="00AC05BA" w:rsidP="00AC05BA">
      <w:pPr>
        <w:spacing w:after="0" w:line="240" w:lineRule="auto"/>
        <w:rPr>
          <w:b/>
          <w:bCs/>
        </w:rPr>
      </w:pPr>
      <w:r w:rsidRPr="00AC05BA">
        <w:rPr>
          <w:b/>
          <w:bCs/>
        </w:rPr>
        <w:t>Évolution déjà votée mais à venir</w:t>
      </w:r>
    </w:p>
    <w:p w14:paraId="28D6EEC9" w14:textId="79AB39EC" w:rsidR="00AC05BA" w:rsidRPr="00AC05BA" w:rsidRDefault="00AC05BA" w:rsidP="00AC05BA">
      <w:pPr>
        <w:spacing w:after="0" w:line="240" w:lineRule="auto"/>
      </w:pPr>
      <w:r w:rsidRPr="00AC05BA">
        <w:t xml:space="preserve">Les textes officiels examinés au </w:t>
      </w:r>
      <w:r w:rsidRPr="00AC05BA">
        <w:rPr>
          <w:b/>
          <w:bCs/>
        </w:rPr>
        <w:t>12 août 2026</w:t>
      </w:r>
      <w:r w:rsidRPr="00AC05BA">
        <w:t xml:space="preserve"> ne font pas apparaître de réforme générale à entrée en vigueur différée remettant en cause les mécanismes centraux exposés dans cette fiche</w:t>
      </w:r>
      <w:r>
        <w:t> :</w:t>
      </w:r>
      <w:r w:rsidRPr="00AC05BA">
        <w:t xml:space="preserve"> augmentation et réduction du capital, DPS, actions de préférence ou régime général des emprunts obligataires.</w:t>
      </w:r>
    </w:p>
    <w:p w14:paraId="58934BDE" w14:textId="77777777" w:rsidR="00AC05BA" w:rsidRPr="00AC05BA" w:rsidRDefault="00AC05BA" w:rsidP="00AC05BA">
      <w:pPr>
        <w:spacing w:after="0" w:line="240" w:lineRule="auto"/>
      </w:pPr>
      <w:r w:rsidRPr="00AC05BA">
        <w:t>Une veille reste néanmoins nécessaire, en particulier sur les règles relatives aux marchés financiers, aux offres de titres et aux instruments de financement complexes.</w:t>
      </w:r>
    </w:p>
    <w:p w14:paraId="25D25BFE" w14:textId="77777777" w:rsidR="00AC05BA" w:rsidRPr="00AC05BA" w:rsidRDefault="00AC05BA" w:rsidP="00AC05BA">
      <w:pPr>
        <w:pStyle w:val="Titre1"/>
      </w:pPr>
      <w:r w:rsidRPr="00AC05BA">
        <w:t>35. Sigles et mots-clés</w:t>
      </w:r>
    </w:p>
    <w:tbl>
      <w:tblPr>
        <w:tblStyle w:val="Grilledutableau"/>
        <w:tblW w:w="0" w:type="auto"/>
        <w:tblLook w:val="04A0" w:firstRow="1" w:lastRow="0" w:firstColumn="1" w:lastColumn="0" w:noHBand="0" w:noVBand="1"/>
      </w:tblPr>
      <w:tblGrid>
        <w:gridCol w:w="2359"/>
        <w:gridCol w:w="6956"/>
      </w:tblGrid>
      <w:tr w:rsidR="00AC05BA" w:rsidRPr="00AC05BA" w14:paraId="146372FD" w14:textId="77777777" w:rsidTr="00AC05BA">
        <w:trPr>
          <w:tblHeader/>
        </w:trPr>
        <w:tc>
          <w:tcPr>
            <w:tcW w:w="0" w:type="auto"/>
            <w:hideMark/>
          </w:tcPr>
          <w:p w14:paraId="121FD8AC" w14:textId="77777777" w:rsidR="00AC05BA" w:rsidRPr="00AC05BA" w:rsidRDefault="00AC05BA" w:rsidP="00AC05BA">
            <w:pPr>
              <w:jc w:val="left"/>
              <w:rPr>
                <w:rFonts w:ascii="Calibri" w:hAnsi="Calibri" w:cs="Calibri"/>
                <w:b/>
                <w:bCs/>
                <w:sz w:val="20"/>
              </w:rPr>
            </w:pPr>
            <w:r w:rsidRPr="00AC05BA">
              <w:rPr>
                <w:rFonts w:ascii="Calibri" w:hAnsi="Calibri" w:cs="Calibri"/>
                <w:b/>
                <w:bCs/>
                <w:sz w:val="20"/>
              </w:rPr>
              <w:t>Sigle / notion</w:t>
            </w:r>
          </w:p>
        </w:tc>
        <w:tc>
          <w:tcPr>
            <w:tcW w:w="0" w:type="auto"/>
            <w:hideMark/>
          </w:tcPr>
          <w:p w14:paraId="6AC7F734" w14:textId="77777777" w:rsidR="00AC05BA" w:rsidRPr="00AC05BA" w:rsidRDefault="00AC05BA" w:rsidP="00AC05BA">
            <w:pPr>
              <w:jc w:val="left"/>
              <w:rPr>
                <w:rFonts w:ascii="Calibri" w:hAnsi="Calibri" w:cs="Calibri"/>
                <w:b/>
                <w:bCs/>
                <w:sz w:val="20"/>
              </w:rPr>
            </w:pPr>
            <w:r w:rsidRPr="00AC05BA">
              <w:rPr>
                <w:rFonts w:ascii="Calibri" w:hAnsi="Calibri" w:cs="Calibri"/>
                <w:b/>
                <w:bCs/>
                <w:sz w:val="20"/>
              </w:rPr>
              <w:t>Signification</w:t>
            </w:r>
          </w:p>
        </w:tc>
      </w:tr>
      <w:tr w:rsidR="00AC05BA" w:rsidRPr="00AC05BA" w14:paraId="59A5B65D" w14:textId="77777777" w:rsidTr="00AC05BA">
        <w:tc>
          <w:tcPr>
            <w:tcW w:w="0" w:type="auto"/>
            <w:hideMark/>
          </w:tcPr>
          <w:p w14:paraId="463F195E" w14:textId="77777777" w:rsidR="00AC05BA" w:rsidRPr="00AC05BA" w:rsidRDefault="00AC05BA" w:rsidP="00AC05BA">
            <w:pPr>
              <w:jc w:val="left"/>
              <w:rPr>
                <w:rFonts w:ascii="Calibri" w:hAnsi="Calibri" w:cs="Calibri"/>
                <w:sz w:val="20"/>
              </w:rPr>
            </w:pPr>
            <w:r w:rsidRPr="00AC05BA">
              <w:rPr>
                <w:rFonts w:ascii="Calibri" w:hAnsi="Calibri" w:cs="Calibri"/>
                <w:b/>
                <w:bCs/>
                <w:sz w:val="20"/>
              </w:rPr>
              <w:t>DPS</w:t>
            </w:r>
          </w:p>
        </w:tc>
        <w:tc>
          <w:tcPr>
            <w:tcW w:w="0" w:type="auto"/>
            <w:hideMark/>
          </w:tcPr>
          <w:p w14:paraId="7DBD1398" w14:textId="77777777" w:rsidR="00AC05BA" w:rsidRPr="00AC05BA" w:rsidRDefault="00AC05BA" w:rsidP="00AC05BA">
            <w:pPr>
              <w:jc w:val="left"/>
              <w:rPr>
                <w:rFonts w:ascii="Calibri" w:hAnsi="Calibri" w:cs="Calibri"/>
                <w:sz w:val="20"/>
              </w:rPr>
            </w:pPr>
            <w:r w:rsidRPr="00AC05BA">
              <w:rPr>
                <w:rFonts w:ascii="Calibri" w:hAnsi="Calibri" w:cs="Calibri"/>
                <w:sz w:val="20"/>
              </w:rPr>
              <w:t>Droit préférentiel de souscription</w:t>
            </w:r>
          </w:p>
        </w:tc>
      </w:tr>
      <w:tr w:rsidR="00AC05BA" w:rsidRPr="00AC05BA" w14:paraId="2591A318" w14:textId="77777777" w:rsidTr="00AC05BA">
        <w:tc>
          <w:tcPr>
            <w:tcW w:w="0" w:type="auto"/>
            <w:hideMark/>
          </w:tcPr>
          <w:p w14:paraId="4551E946" w14:textId="77777777" w:rsidR="00AC05BA" w:rsidRPr="00AC05BA" w:rsidRDefault="00AC05BA" w:rsidP="00AC05BA">
            <w:pPr>
              <w:jc w:val="left"/>
              <w:rPr>
                <w:rFonts w:ascii="Calibri" w:hAnsi="Calibri" w:cs="Calibri"/>
                <w:sz w:val="20"/>
              </w:rPr>
            </w:pPr>
            <w:r w:rsidRPr="00AC05BA">
              <w:rPr>
                <w:rFonts w:ascii="Calibri" w:hAnsi="Calibri" w:cs="Calibri"/>
                <w:b/>
                <w:bCs/>
                <w:sz w:val="20"/>
              </w:rPr>
              <w:t>CAC</w:t>
            </w:r>
          </w:p>
        </w:tc>
        <w:tc>
          <w:tcPr>
            <w:tcW w:w="0" w:type="auto"/>
            <w:hideMark/>
          </w:tcPr>
          <w:p w14:paraId="726EF3F3" w14:textId="77777777" w:rsidR="00AC05BA" w:rsidRPr="00AC05BA" w:rsidRDefault="00AC05BA" w:rsidP="00AC05BA">
            <w:pPr>
              <w:jc w:val="left"/>
              <w:rPr>
                <w:rFonts w:ascii="Calibri" w:hAnsi="Calibri" w:cs="Calibri"/>
                <w:sz w:val="20"/>
              </w:rPr>
            </w:pPr>
            <w:r w:rsidRPr="00AC05BA">
              <w:rPr>
                <w:rFonts w:ascii="Calibri" w:hAnsi="Calibri" w:cs="Calibri"/>
                <w:sz w:val="20"/>
              </w:rPr>
              <w:t>Commissaire aux comptes</w:t>
            </w:r>
          </w:p>
        </w:tc>
      </w:tr>
      <w:tr w:rsidR="00AC05BA" w:rsidRPr="00AC05BA" w14:paraId="66190DF6" w14:textId="77777777" w:rsidTr="00AC05BA">
        <w:tc>
          <w:tcPr>
            <w:tcW w:w="0" w:type="auto"/>
            <w:hideMark/>
          </w:tcPr>
          <w:p w14:paraId="5F2AA642" w14:textId="77777777" w:rsidR="00AC05BA" w:rsidRPr="00AC05BA" w:rsidRDefault="00AC05BA" w:rsidP="00AC05BA">
            <w:pPr>
              <w:jc w:val="left"/>
              <w:rPr>
                <w:rFonts w:ascii="Calibri" w:hAnsi="Calibri" w:cs="Calibri"/>
                <w:sz w:val="20"/>
              </w:rPr>
            </w:pPr>
            <w:r w:rsidRPr="00AC05BA">
              <w:rPr>
                <w:rFonts w:ascii="Calibri" w:hAnsi="Calibri" w:cs="Calibri"/>
                <w:b/>
                <w:bCs/>
                <w:sz w:val="20"/>
              </w:rPr>
              <w:t>Capital social</w:t>
            </w:r>
          </w:p>
        </w:tc>
        <w:tc>
          <w:tcPr>
            <w:tcW w:w="0" w:type="auto"/>
            <w:hideMark/>
          </w:tcPr>
          <w:p w14:paraId="02392A51" w14:textId="77777777" w:rsidR="00AC05BA" w:rsidRPr="00AC05BA" w:rsidRDefault="00AC05BA" w:rsidP="00AC05BA">
            <w:pPr>
              <w:jc w:val="left"/>
              <w:rPr>
                <w:rFonts w:ascii="Calibri" w:hAnsi="Calibri" w:cs="Calibri"/>
                <w:sz w:val="20"/>
              </w:rPr>
            </w:pPr>
            <w:r w:rsidRPr="00AC05BA">
              <w:rPr>
                <w:rFonts w:ascii="Calibri" w:hAnsi="Calibri" w:cs="Calibri"/>
                <w:sz w:val="20"/>
              </w:rPr>
              <w:t>Montant des apports ou incorporations ayant juridiquement la qualité de capital</w:t>
            </w:r>
          </w:p>
        </w:tc>
      </w:tr>
      <w:tr w:rsidR="00AC05BA" w:rsidRPr="00AC05BA" w14:paraId="6C70EACD" w14:textId="77777777" w:rsidTr="00AC05BA">
        <w:tc>
          <w:tcPr>
            <w:tcW w:w="0" w:type="auto"/>
            <w:hideMark/>
          </w:tcPr>
          <w:p w14:paraId="6A397A79" w14:textId="77777777" w:rsidR="00AC05BA" w:rsidRPr="00AC05BA" w:rsidRDefault="00AC05BA" w:rsidP="00AC05BA">
            <w:pPr>
              <w:jc w:val="left"/>
              <w:rPr>
                <w:rFonts w:ascii="Calibri" w:hAnsi="Calibri" w:cs="Calibri"/>
                <w:sz w:val="20"/>
              </w:rPr>
            </w:pPr>
            <w:r w:rsidRPr="00AC05BA">
              <w:rPr>
                <w:rFonts w:ascii="Calibri" w:hAnsi="Calibri" w:cs="Calibri"/>
                <w:b/>
                <w:bCs/>
                <w:sz w:val="20"/>
              </w:rPr>
              <w:t>Capitaux propres</w:t>
            </w:r>
          </w:p>
        </w:tc>
        <w:tc>
          <w:tcPr>
            <w:tcW w:w="0" w:type="auto"/>
            <w:hideMark/>
          </w:tcPr>
          <w:p w14:paraId="3A1C5836" w14:textId="77777777" w:rsidR="00AC05BA" w:rsidRPr="00AC05BA" w:rsidRDefault="00AC05BA" w:rsidP="00AC05BA">
            <w:pPr>
              <w:jc w:val="left"/>
              <w:rPr>
                <w:rFonts w:ascii="Calibri" w:hAnsi="Calibri" w:cs="Calibri"/>
                <w:sz w:val="20"/>
              </w:rPr>
            </w:pPr>
            <w:r w:rsidRPr="00AC05BA">
              <w:rPr>
                <w:rFonts w:ascii="Calibri" w:hAnsi="Calibri" w:cs="Calibri"/>
                <w:sz w:val="20"/>
              </w:rPr>
              <w:t>Ensemble comptable comprenant notamment capital, primes, réserves et résultats</w:t>
            </w:r>
          </w:p>
        </w:tc>
      </w:tr>
      <w:tr w:rsidR="00AC05BA" w:rsidRPr="00AC05BA" w14:paraId="4D91D689" w14:textId="77777777" w:rsidTr="00AC05BA">
        <w:tc>
          <w:tcPr>
            <w:tcW w:w="0" w:type="auto"/>
            <w:hideMark/>
          </w:tcPr>
          <w:p w14:paraId="42ECBCD9" w14:textId="77777777" w:rsidR="00AC05BA" w:rsidRPr="00AC05BA" w:rsidRDefault="00AC05BA" w:rsidP="00AC05BA">
            <w:pPr>
              <w:jc w:val="left"/>
              <w:rPr>
                <w:rFonts w:ascii="Calibri" w:hAnsi="Calibri" w:cs="Calibri"/>
                <w:sz w:val="20"/>
              </w:rPr>
            </w:pPr>
            <w:r w:rsidRPr="00AC05BA">
              <w:rPr>
                <w:rFonts w:ascii="Calibri" w:hAnsi="Calibri" w:cs="Calibri"/>
                <w:b/>
                <w:bCs/>
                <w:sz w:val="20"/>
              </w:rPr>
              <w:t>Prime d’émission</w:t>
            </w:r>
          </w:p>
        </w:tc>
        <w:tc>
          <w:tcPr>
            <w:tcW w:w="0" w:type="auto"/>
            <w:hideMark/>
          </w:tcPr>
          <w:p w14:paraId="0F15ACC6" w14:textId="77777777" w:rsidR="00AC05BA" w:rsidRPr="00AC05BA" w:rsidRDefault="00AC05BA" w:rsidP="00AC05BA">
            <w:pPr>
              <w:jc w:val="left"/>
              <w:rPr>
                <w:rFonts w:ascii="Calibri" w:hAnsi="Calibri" w:cs="Calibri"/>
                <w:sz w:val="20"/>
              </w:rPr>
            </w:pPr>
            <w:r w:rsidRPr="00AC05BA">
              <w:rPr>
                <w:rFonts w:ascii="Calibri" w:hAnsi="Calibri" w:cs="Calibri"/>
                <w:sz w:val="20"/>
              </w:rPr>
              <w:t>Différence entre le prix d’émission et la valeur nominale d’un titre</w:t>
            </w:r>
          </w:p>
        </w:tc>
      </w:tr>
      <w:tr w:rsidR="00AC05BA" w:rsidRPr="00AC05BA" w14:paraId="2DC76774" w14:textId="77777777" w:rsidTr="00AC05BA">
        <w:tc>
          <w:tcPr>
            <w:tcW w:w="0" w:type="auto"/>
            <w:hideMark/>
          </w:tcPr>
          <w:p w14:paraId="6EE01EDB" w14:textId="77777777" w:rsidR="00AC05BA" w:rsidRPr="00AC05BA" w:rsidRDefault="00AC05BA" w:rsidP="00AC05BA">
            <w:pPr>
              <w:jc w:val="left"/>
              <w:rPr>
                <w:rFonts w:ascii="Calibri" w:hAnsi="Calibri" w:cs="Calibri"/>
                <w:sz w:val="20"/>
              </w:rPr>
            </w:pPr>
            <w:r w:rsidRPr="00AC05BA">
              <w:rPr>
                <w:rFonts w:ascii="Calibri" w:hAnsi="Calibri" w:cs="Calibri"/>
                <w:b/>
                <w:bCs/>
                <w:sz w:val="20"/>
              </w:rPr>
              <w:t>Dilution</w:t>
            </w:r>
          </w:p>
        </w:tc>
        <w:tc>
          <w:tcPr>
            <w:tcW w:w="0" w:type="auto"/>
            <w:hideMark/>
          </w:tcPr>
          <w:p w14:paraId="270CB6A4" w14:textId="77777777" w:rsidR="00AC05BA" w:rsidRPr="00AC05BA" w:rsidRDefault="00AC05BA" w:rsidP="00AC05BA">
            <w:pPr>
              <w:jc w:val="left"/>
              <w:rPr>
                <w:rFonts w:ascii="Calibri" w:hAnsi="Calibri" w:cs="Calibri"/>
                <w:sz w:val="20"/>
              </w:rPr>
            </w:pPr>
            <w:r w:rsidRPr="00AC05BA">
              <w:rPr>
                <w:rFonts w:ascii="Calibri" w:hAnsi="Calibri" w:cs="Calibri"/>
                <w:sz w:val="20"/>
              </w:rPr>
              <w:t>Réduction de la participation relative d’un associé ou actionnaire</w:t>
            </w:r>
          </w:p>
        </w:tc>
      </w:tr>
      <w:tr w:rsidR="00AC05BA" w:rsidRPr="00AC05BA" w14:paraId="5E192B5C" w14:textId="77777777" w:rsidTr="00AC05BA">
        <w:tc>
          <w:tcPr>
            <w:tcW w:w="0" w:type="auto"/>
            <w:hideMark/>
          </w:tcPr>
          <w:p w14:paraId="55D8979E" w14:textId="77777777" w:rsidR="00AC05BA" w:rsidRPr="00AC05BA" w:rsidRDefault="00AC05BA" w:rsidP="00AC05BA">
            <w:pPr>
              <w:jc w:val="left"/>
              <w:rPr>
                <w:rFonts w:ascii="Calibri" w:hAnsi="Calibri" w:cs="Calibri"/>
                <w:sz w:val="20"/>
              </w:rPr>
            </w:pPr>
            <w:r w:rsidRPr="00AC05BA">
              <w:rPr>
                <w:rFonts w:ascii="Calibri" w:hAnsi="Calibri" w:cs="Calibri"/>
                <w:b/>
                <w:bCs/>
                <w:sz w:val="20"/>
              </w:rPr>
              <w:t>Droit d’attribution</w:t>
            </w:r>
          </w:p>
        </w:tc>
        <w:tc>
          <w:tcPr>
            <w:tcW w:w="0" w:type="auto"/>
            <w:hideMark/>
          </w:tcPr>
          <w:p w14:paraId="713D775D" w14:textId="77777777" w:rsidR="00AC05BA" w:rsidRPr="00AC05BA" w:rsidRDefault="00AC05BA" w:rsidP="00AC05BA">
            <w:pPr>
              <w:jc w:val="left"/>
              <w:rPr>
                <w:rFonts w:ascii="Calibri" w:hAnsi="Calibri" w:cs="Calibri"/>
                <w:sz w:val="20"/>
              </w:rPr>
            </w:pPr>
            <w:r w:rsidRPr="00AC05BA">
              <w:rPr>
                <w:rFonts w:ascii="Calibri" w:hAnsi="Calibri" w:cs="Calibri"/>
                <w:sz w:val="20"/>
              </w:rPr>
              <w:t>Droit à recevoir des titres gratuits lors de certaines incorporations</w:t>
            </w:r>
          </w:p>
        </w:tc>
      </w:tr>
      <w:tr w:rsidR="00AC05BA" w:rsidRPr="00AC05BA" w14:paraId="31454B8E" w14:textId="77777777" w:rsidTr="00AC05BA">
        <w:tc>
          <w:tcPr>
            <w:tcW w:w="0" w:type="auto"/>
            <w:hideMark/>
          </w:tcPr>
          <w:p w14:paraId="06A15CF0" w14:textId="77777777" w:rsidR="00AC05BA" w:rsidRPr="00AC05BA" w:rsidRDefault="00AC05BA" w:rsidP="00AC05BA">
            <w:pPr>
              <w:jc w:val="left"/>
              <w:rPr>
                <w:rFonts w:ascii="Calibri" w:hAnsi="Calibri" w:cs="Calibri"/>
                <w:sz w:val="20"/>
              </w:rPr>
            </w:pPr>
            <w:r w:rsidRPr="00AC05BA">
              <w:rPr>
                <w:rFonts w:ascii="Calibri" w:hAnsi="Calibri" w:cs="Calibri"/>
                <w:b/>
                <w:bCs/>
                <w:sz w:val="20"/>
              </w:rPr>
              <w:t>Action de préférence</w:t>
            </w:r>
          </w:p>
        </w:tc>
        <w:tc>
          <w:tcPr>
            <w:tcW w:w="0" w:type="auto"/>
            <w:hideMark/>
          </w:tcPr>
          <w:p w14:paraId="777727F8" w14:textId="77777777" w:rsidR="00AC05BA" w:rsidRPr="00AC05BA" w:rsidRDefault="00AC05BA" w:rsidP="00AC05BA">
            <w:pPr>
              <w:jc w:val="left"/>
              <w:rPr>
                <w:rFonts w:ascii="Calibri" w:hAnsi="Calibri" w:cs="Calibri"/>
                <w:sz w:val="20"/>
              </w:rPr>
            </w:pPr>
            <w:r w:rsidRPr="00AC05BA">
              <w:rPr>
                <w:rFonts w:ascii="Calibri" w:hAnsi="Calibri" w:cs="Calibri"/>
                <w:sz w:val="20"/>
              </w:rPr>
              <w:t>Action assortie de droits particuliers</w:t>
            </w:r>
          </w:p>
        </w:tc>
      </w:tr>
      <w:tr w:rsidR="00AC05BA" w:rsidRPr="00AC05BA" w14:paraId="1654F59E" w14:textId="77777777" w:rsidTr="00AC05BA">
        <w:tc>
          <w:tcPr>
            <w:tcW w:w="0" w:type="auto"/>
            <w:hideMark/>
          </w:tcPr>
          <w:p w14:paraId="4A70672B" w14:textId="77777777" w:rsidR="00AC05BA" w:rsidRPr="00AC05BA" w:rsidRDefault="00AC05BA" w:rsidP="00AC05BA">
            <w:pPr>
              <w:jc w:val="left"/>
              <w:rPr>
                <w:rFonts w:ascii="Calibri" w:hAnsi="Calibri" w:cs="Calibri"/>
                <w:sz w:val="20"/>
              </w:rPr>
            </w:pPr>
            <w:r w:rsidRPr="00AC05BA">
              <w:rPr>
                <w:rFonts w:ascii="Calibri" w:hAnsi="Calibri" w:cs="Calibri"/>
                <w:b/>
                <w:bCs/>
                <w:sz w:val="20"/>
              </w:rPr>
              <w:t>Obligation</w:t>
            </w:r>
          </w:p>
        </w:tc>
        <w:tc>
          <w:tcPr>
            <w:tcW w:w="0" w:type="auto"/>
            <w:hideMark/>
          </w:tcPr>
          <w:p w14:paraId="5532BBA1" w14:textId="77777777" w:rsidR="00AC05BA" w:rsidRPr="00AC05BA" w:rsidRDefault="00AC05BA" w:rsidP="00AC05BA">
            <w:pPr>
              <w:jc w:val="left"/>
              <w:rPr>
                <w:rFonts w:ascii="Calibri" w:hAnsi="Calibri" w:cs="Calibri"/>
                <w:sz w:val="20"/>
              </w:rPr>
            </w:pPr>
            <w:r w:rsidRPr="00AC05BA">
              <w:rPr>
                <w:rFonts w:ascii="Calibri" w:hAnsi="Calibri" w:cs="Calibri"/>
                <w:sz w:val="20"/>
              </w:rPr>
              <w:t>Titre négociable représentatif d’une créance</w:t>
            </w:r>
          </w:p>
        </w:tc>
      </w:tr>
      <w:tr w:rsidR="00AC05BA" w:rsidRPr="00AC05BA" w14:paraId="793ECB7E" w14:textId="77777777" w:rsidTr="00AC05BA">
        <w:tc>
          <w:tcPr>
            <w:tcW w:w="0" w:type="auto"/>
            <w:hideMark/>
          </w:tcPr>
          <w:p w14:paraId="545F77FA" w14:textId="77777777" w:rsidR="00AC05BA" w:rsidRPr="00AC05BA" w:rsidRDefault="00AC05BA" w:rsidP="00AC05BA">
            <w:pPr>
              <w:jc w:val="left"/>
              <w:rPr>
                <w:rFonts w:ascii="Calibri" w:hAnsi="Calibri" w:cs="Calibri"/>
                <w:sz w:val="20"/>
              </w:rPr>
            </w:pPr>
            <w:r w:rsidRPr="00AC05BA">
              <w:rPr>
                <w:rFonts w:ascii="Calibri" w:hAnsi="Calibri" w:cs="Calibri"/>
                <w:b/>
                <w:bCs/>
                <w:sz w:val="20"/>
              </w:rPr>
              <w:t>Obligataire</w:t>
            </w:r>
          </w:p>
        </w:tc>
        <w:tc>
          <w:tcPr>
            <w:tcW w:w="0" w:type="auto"/>
            <w:hideMark/>
          </w:tcPr>
          <w:p w14:paraId="6D8A99E5" w14:textId="77777777" w:rsidR="00AC05BA" w:rsidRPr="00AC05BA" w:rsidRDefault="00AC05BA" w:rsidP="00AC05BA">
            <w:pPr>
              <w:jc w:val="left"/>
              <w:rPr>
                <w:rFonts w:ascii="Calibri" w:hAnsi="Calibri" w:cs="Calibri"/>
                <w:sz w:val="20"/>
              </w:rPr>
            </w:pPr>
            <w:r w:rsidRPr="00AC05BA">
              <w:rPr>
                <w:rFonts w:ascii="Calibri" w:hAnsi="Calibri" w:cs="Calibri"/>
                <w:sz w:val="20"/>
              </w:rPr>
              <w:t>Titulaire d’une obligation</w:t>
            </w:r>
          </w:p>
        </w:tc>
      </w:tr>
      <w:tr w:rsidR="00AC05BA" w:rsidRPr="00AC05BA" w14:paraId="59A40AB9" w14:textId="77777777" w:rsidTr="00AC05BA">
        <w:tc>
          <w:tcPr>
            <w:tcW w:w="0" w:type="auto"/>
            <w:hideMark/>
          </w:tcPr>
          <w:p w14:paraId="791190CA" w14:textId="77777777" w:rsidR="00AC05BA" w:rsidRPr="00AC05BA" w:rsidRDefault="00AC05BA" w:rsidP="00AC05BA">
            <w:pPr>
              <w:jc w:val="left"/>
              <w:rPr>
                <w:rFonts w:ascii="Calibri" w:hAnsi="Calibri" w:cs="Calibri"/>
                <w:sz w:val="20"/>
              </w:rPr>
            </w:pPr>
            <w:r w:rsidRPr="00AC05BA">
              <w:rPr>
                <w:rFonts w:ascii="Calibri" w:hAnsi="Calibri" w:cs="Calibri"/>
                <w:b/>
                <w:bCs/>
                <w:sz w:val="20"/>
              </w:rPr>
              <w:t>Masse</w:t>
            </w:r>
          </w:p>
        </w:tc>
        <w:tc>
          <w:tcPr>
            <w:tcW w:w="0" w:type="auto"/>
            <w:hideMark/>
          </w:tcPr>
          <w:p w14:paraId="31EC8481" w14:textId="77777777" w:rsidR="00AC05BA" w:rsidRPr="00AC05BA" w:rsidRDefault="00AC05BA" w:rsidP="00AC05BA">
            <w:pPr>
              <w:jc w:val="left"/>
              <w:rPr>
                <w:rFonts w:ascii="Calibri" w:hAnsi="Calibri" w:cs="Calibri"/>
                <w:sz w:val="20"/>
              </w:rPr>
            </w:pPr>
            <w:r w:rsidRPr="00AC05BA">
              <w:rPr>
                <w:rFonts w:ascii="Calibri" w:hAnsi="Calibri" w:cs="Calibri"/>
                <w:sz w:val="20"/>
              </w:rPr>
              <w:t>Groupement légal des obligataires d’une même émission</w:t>
            </w:r>
          </w:p>
        </w:tc>
      </w:tr>
      <w:tr w:rsidR="00AC05BA" w:rsidRPr="00AC05BA" w14:paraId="3C76483B" w14:textId="77777777" w:rsidTr="00AC05BA">
        <w:tc>
          <w:tcPr>
            <w:tcW w:w="0" w:type="auto"/>
            <w:hideMark/>
          </w:tcPr>
          <w:p w14:paraId="053C4E73" w14:textId="77777777" w:rsidR="00AC05BA" w:rsidRPr="00AC05BA" w:rsidRDefault="00AC05BA" w:rsidP="00AC05BA">
            <w:pPr>
              <w:jc w:val="left"/>
              <w:rPr>
                <w:rFonts w:ascii="Calibri" w:hAnsi="Calibri" w:cs="Calibri"/>
                <w:sz w:val="20"/>
              </w:rPr>
            </w:pPr>
            <w:r w:rsidRPr="00AC05BA">
              <w:rPr>
                <w:rFonts w:ascii="Calibri" w:hAnsi="Calibri" w:cs="Calibri"/>
                <w:b/>
                <w:bCs/>
                <w:sz w:val="20"/>
              </w:rPr>
              <w:t>Compte courant d’associé</w:t>
            </w:r>
          </w:p>
        </w:tc>
        <w:tc>
          <w:tcPr>
            <w:tcW w:w="0" w:type="auto"/>
            <w:hideMark/>
          </w:tcPr>
          <w:p w14:paraId="759A5330" w14:textId="77777777" w:rsidR="00AC05BA" w:rsidRPr="00AC05BA" w:rsidRDefault="00AC05BA" w:rsidP="00AC05BA">
            <w:pPr>
              <w:jc w:val="left"/>
              <w:rPr>
                <w:rFonts w:ascii="Calibri" w:hAnsi="Calibri" w:cs="Calibri"/>
                <w:sz w:val="20"/>
              </w:rPr>
            </w:pPr>
            <w:r w:rsidRPr="00AC05BA">
              <w:rPr>
                <w:rFonts w:ascii="Calibri" w:hAnsi="Calibri" w:cs="Calibri"/>
                <w:sz w:val="20"/>
              </w:rPr>
              <w:t>Prêt consenti à la société par un associé ou dirigeant</w:t>
            </w:r>
          </w:p>
        </w:tc>
      </w:tr>
      <w:tr w:rsidR="00AC05BA" w:rsidRPr="00AC05BA" w14:paraId="66A07A65" w14:textId="77777777" w:rsidTr="00AC05BA">
        <w:tc>
          <w:tcPr>
            <w:tcW w:w="0" w:type="auto"/>
            <w:hideMark/>
          </w:tcPr>
          <w:p w14:paraId="20BDD993" w14:textId="77777777" w:rsidR="00AC05BA" w:rsidRPr="00AC05BA" w:rsidRDefault="00AC05BA" w:rsidP="00AC05BA">
            <w:pPr>
              <w:jc w:val="left"/>
              <w:rPr>
                <w:rFonts w:ascii="Calibri" w:hAnsi="Calibri" w:cs="Calibri"/>
                <w:sz w:val="20"/>
              </w:rPr>
            </w:pPr>
            <w:r w:rsidRPr="00AC05BA">
              <w:rPr>
                <w:rFonts w:ascii="Calibri" w:hAnsi="Calibri" w:cs="Calibri"/>
                <w:b/>
                <w:bCs/>
                <w:sz w:val="20"/>
              </w:rPr>
              <w:t>Compensation de créance</w:t>
            </w:r>
          </w:p>
        </w:tc>
        <w:tc>
          <w:tcPr>
            <w:tcW w:w="0" w:type="auto"/>
            <w:hideMark/>
          </w:tcPr>
          <w:p w14:paraId="2E50A396" w14:textId="77777777" w:rsidR="00AC05BA" w:rsidRPr="00AC05BA" w:rsidRDefault="00AC05BA" w:rsidP="00AC05BA">
            <w:pPr>
              <w:jc w:val="left"/>
              <w:rPr>
                <w:rFonts w:ascii="Calibri" w:hAnsi="Calibri" w:cs="Calibri"/>
                <w:sz w:val="20"/>
              </w:rPr>
            </w:pPr>
            <w:r w:rsidRPr="00AC05BA">
              <w:rPr>
                <w:rFonts w:ascii="Calibri" w:hAnsi="Calibri" w:cs="Calibri"/>
                <w:sz w:val="20"/>
              </w:rPr>
              <w:t>Extinction d’une créance contre remise de titres lors d’une augmentation de capital</w:t>
            </w:r>
          </w:p>
        </w:tc>
      </w:tr>
      <w:tr w:rsidR="00AC05BA" w:rsidRPr="00AC05BA" w14:paraId="2DDA8E70" w14:textId="77777777" w:rsidTr="00AC05BA">
        <w:tc>
          <w:tcPr>
            <w:tcW w:w="0" w:type="auto"/>
            <w:hideMark/>
          </w:tcPr>
          <w:p w14:paraId="35846AC8" w14:textId="77777777" w:rsidR="00AC05BA" w:rsidRPr="00AC05BA" w:rsidRDefault="00AC05BA" w:rsidP="00AC05BA">
            <w:pPr>
              <w:jc w:val="left"/>
              <w:rPr>
                <w:rFonts w:ascii="Calibri" w:hAnsi="Calibri" w:cs="Calibri"/>
                <w:sz w:val="20"/>
              </w:rPr>
            </w:pPr>
            <w:r w:rsidRPr="00AC05BA">
              <w:rPr>
                <w:rFonts w:ascii="Calibri" w:hAnsi="Calibri" w:cs="Calibri"/>
                <w:b/>
                <w:bCs/>
                <w:sz w:val="20"/>
              </w:rPr>
              <w:t>Coup d’accordéon</w:t>
            </w:r>
          </w:p>
        </w:tc>
        <w:tc>
          <w:tcPr>
            <w:tcW w:w="0" w:type="auto"/>
            <w:hideMark/>
          </w:tcPr>
          <w:p w14:paraId="34013853" w14:textId="77777777" w:rsidR="00AC05BA" w:rsidRPr="00AC05BA" w:rsidRDefault="00AC05BA" w:rsidP="00AC05BA">
            <w:pPr>
              <w:jc w:val="left"/>
              <w:rPr>
                <w:rFonts w:ascii="Calibri" w:hAnsi="Calibri" w:cs="Calibri"/>
                <w:sz w:val="20"/>
              </w:rPr>
            </w:pPr>
            <w:r w:rsidRPr="00AC05BA">
              <w:rPr>
                <w:rFonts w:ascii="Calibri" w:hAnsi="Calibri" w:cs="Calibri"/>
                <w:sz w:val="20"/>
              </w:rPr>
              <w:t>Réduction de capital suivie d’une augmentation</w:t>
            </w:r>
          </w:p>
        </w:tc>
      </w:tr>
      <w:tr w:rsidR="00AC05BA" w:rsidRPr="00AC05BA" w14:paraId="198D10A4" w14:textId="77777777" w:rsidTr="00AC05BA">
        <w:tc>
          <w:tcPr>
            <w:tcW w:w="0" w:type="auto"/>
            <w:hideMark/>
          </w:tcPr>
          <w:p w14:paraId="349720B3" w14:textId="77777777" w:rsidR="00AC05BA" w:rsidRPr="00AC05BA" w:rsidRDefault="00AC05BA" w:rsidP="00AC05BA">
            <w:pPr>
              <w:jc w:val="left"/>
              <w:rPr>
                <w:rFonts w:ascii="Calibri" w:hAnsi="Calibri" w:cs="Calibri"/>
                <w:sz w:val="20"/>
              </w:rPr>
            </w:pPr>
            <w:r w:rsidRPr="00AC05BA">
              <w:rPr>
                <w:rFonts w:ascii="Calibri" w:hAnsi="Calibri" w:cs="Calibri"/>
                <w:b/>
                <w:bCs/>
                <w:sz w:val="20"/>
              </w:rPr>
              <w:t>OCA</w:t>
            </w:r>
          </w:p>
        </w:tc>
        <w:tc>
          <w:tcPr>
            <w:tcW w:w="0" w:type="auto"/>
            <w:hideMark/>
          </w:tcPr>
          <w:p w14:paraId="24CE4DD8" w14:textId="77777777" w:rsidR="00AC05BA" w:rsidRPr="00AC05BA" w:rsidRDefault="00AC05BA" w:rsidP="00AC05BA">
            <w:pPr>
              <w:jc w:val="left"/>
              <w:rPr>
                <w:rFonts w:ascii="Calibri" w:hAnsi="Calibri" w:cs="Calibri"/>
                <w:sz w:val="20"/>
              </w:rPr>
            </w:pPr>
            <w:r w:rsidRPr="00AC05BA">
              <w:rPr>
                <w:rFonts w:ascii="Calibri" w:hAnsi="Calibri" w:cs="Calibri"/>
                <w:sz w:val="20"/>
              </w:rPr>
              <w:t>Obligation convertible en actions</w:t>
            </w:r>
          </w:p>
        </w:tc>
      </w:tr>
      <w:tr w:rsidR="00AC05BA" w:rsidRPr="00AC05BA" w14:paraId="5E9951BC" w14:textId="77777777" w:rsidTr="00AC05BA">
        <w:tc>
          <w:tcPr>
            <w:tcW w:w="0" w:type="auto"/>
            <w:hideMark/>
          </w:tcPr>
          <w:p w14:paraId="53C42DC2" w14:textId="77777777" w:rsidR="00AC05BA" w:rsidRPr="00AC05BA" w:rsidRDefault="00AC05BA" w:rsidP="00AC05BA">
            <w:pPr>
              <w:jc w:val="left"/>
              <w:rPr>
                <w:rFonts w:ascii="Calibri" w:hAnsi="Calibri" w:cs="Calibri"/>
                <w:sz w:val="20"/>
              </w:rPr>
            </w:pPr>
            <w:r w:rsidRPr="00AC05BA">
              <w:rPr>
                <w:rFonts w:ascii="Calibri" w:hAnsi="Calibri" w:cs="Calibri"/>
                <w:b/>
                <w:bCs/>
                <w:sz w:val="20"/>
              </w:rPr>
              <w:t>ORA</w:t>
            </w:r>
          </w:p>
        </w:tc>
        <w:tc>
          <w:tcPr>
            <w:tcW w:w="0" w:type="auto"/>
            <w:hideMark/>
          </w:tcPr>
          <w:p w14:paraId="281C3E93" w14:textId="77777777" w:rsidR="00AC05BA" w:rsidRPr="00AC05BA" w:rsidRDefault="00AC05BA" w:rsidP="00AC05BA">
            <w:pPr>
              <w:jc w:val="left"/>
              <w:rPr>
                <w:rFonts w:ascii="Calibri" w:hAnsi="Calibri" w:cs="Calibri"/>
                <w:sz w:val="20"/>
              </w:rPr>
            </w:pPr>
            <w:r w:rsidRPr="00AC05BA">
              <w:rPr>
                <w:rFonts w:ascii="Calibri" w:hAnsi="Calibri" w:cs="Calibri"/>
                <w:sz w:val="20"/>
              </w:rPr>
              <w:t>Obligation remboursable en actions</w:t>
            </w:r>
          </w:p>
        </w:tc>
      </w:tr>
      <w:tr w:rsidR="00AC05BA" w:rsidRPr="00AC05BA" w14:paraId="5560C59E" w14:textId="77777777" w:rsidTr="00AC05BA">
        <w:tc>
          <w:tcPr>
            <w:tcW w:w="0" w:type="auto"/>
            <w:hideMark/>
          </w:tcPr>
          <w:p w14:paraId="3AE18C50" w14:textId="77777777" w:rsidR="00AC05BA" w:rsidRPr="00AC05BA" w:rsidRDefault="00AC05BA" w:rsidP="00AC05BA">
            <w:pPr>
              <w:jc w:val="left"/>
              <w:rPr>
                <w:rFonts w:ascii="Calibri" w:hAnsi="Calibri" w:cs="Calibri"/>
                <w:sz w:val="20"/>
              </w:rPr>
            </w:pPr>
            <w:r w:rsidRPr="00AC05BA">
              <w:rPr>
                <w:rFonts w:ascii="Calibri" w:hAnsi="Calibri" w:cs="Calibri"/>
                <w:b/>
                <w:bCs/>
                <w:sz w:val="20"/>
              </w:rPr>
              <w:t>BSA</w:t>
            </w:r>
          </w:p>
        </w:tc>
        <w:tc>
          <w:tcPr>
            <w:tcW w:w="0" w:type="auto"/>
            <w:hideMark/>
          </w:tcPr>
          <w:p w14:paraId="79D0ABEE" w14:textId="77777777" w:rsidR="00AC05BA" w:rsidRPr="00AC05BA" w:rsidRDefault="00AC05BA" w:rsidP="00AC05BA">
            <w:pPr>
              <w:jc w:val="left"/>
              <w:rPr>
                <w:rFonts w:ascii="Calibri" w:hAnsi="Calibri" w:cs="Calibri"/>
                <w:sz w:val="20"/>
              </w:rPr>
            </w:pPr>
            <w:r w:rsidRPr="00AC05BA">
              <w:rPr>
                <w:rFonts w:ascii="Calibri" w:hAnsi="Calibri" w:cs="Calibri"/>
                <w:sz w:val="20"/>
              </w:rPr>
              <w:t>Bon de souscription d’actions</w:t>
            </w:r>
          </w:p>
        </w:tc>
      </w:tr>
      <w:tr w:rsidR="00AC05BA" w:rsidRPr="00AC05BA" w14:paraId="09E97ADE" w14:textId="77777777" w:rsidTr="00AC05BA">
        <w:tc>
          <w:tcPr>
            <w:tcW w:w="0" w:type="auto"/>
            <w:hideMark/>
          </w:tcPr>
          <w:p w14:paraId="7C8A177C" w14:textId="77777777" w:rsidR="00AC05BA" w:rsidRPr="00AC05BA" w:rsidRDefault="00AC05BA" w:rsidP="00AC05BA">
            <w:pPr>
              <w:jc w:val="left"/>
              <w:rPr>
                <w:rFonts w:ascii="Calibri" w:hAnsi="Calibri" w:cs="Calibri"/>
                <w:sz w:val="20"/>
              </w:rPr>
            </w:pPr>
            <w:r w:rsidRPr="00AC05BA">
              <w:rPr>
                <w:rFonts w:ascii="Calibri" w:hAnsi="Calibri" w:cs="Calibri"/>
                <w:b/>
                <w:bCs/>
                <w:sz w:val="20"/>
              </w:rPr>
              <w:t>BSPCE</w:t>
            </w:r>
          </w:p>
        </w:tc>
        <w:tc>
          <w:tcPr>
            <w:tcW w:w="0" w:type="auto"/>
            <w:hideMark/>
          </w:tcPr>
          <w:p w14:paraId="58B3EF20" w14:textId="77777777" w:rsidR="00AC05BA" w:rsidRPr="00AC05BA" w:rsidRDefault="00AC05BA" w:rsidP="00AC05BA">
            <w:pPr>
              <w:jc w:val="left"/>
              <w:rPr>
                <w:rFonts w:ascii="Calibri" w:hAnsi="Calibri" w:cs="Calibri"/>
                <w:sz w:val="20"/>
              </w:rPr>
            </w:pPr>
            <w:r w:rsidRPr="00AC05BA">
              <w:rPr>
                <w:rFonts w:ascii="Calibri" w:hAnsi="Calibri" w:cs="Calibri"/>
                <w:sz w:val="20"/>
              </w:rPr>
              <w:t>Bon de souscription de parts de créateur d’entreprise</w:t>
            </w:r>
          </w:p>
        </w:tc>
      </w:tr>
    </w:tbl>
    <w:p w14:paraId="5D1B3AC3" w14:textId="77777777" w:rsidR="00AC05BA" w:rsidRPr="00AC05BA" w:rsidRDefault="00AC05BA" w:rsidP="00AC05BA">
      <w:pPr>
        <w:spacing w:after="0" w:line="240" w:lineRule="auto"/>
        <w:rPr>
          <w:b/>
          <w:bCs/>
        </w:rPr>
      </w:pPr>
      <w:r w:rsidRPr="00AC05BA">
        <w:rPr>
          <w:b/>
          <w:bCs/>
        </w:rPr>
        <w:t>Sources officielles</w:t>
      </w:r>
    </w:p>
    <w:p w14:paraId="78AA39CE" w14:textId="77777777" w:rsidR="00AC05BA" w:rsidRPr="00AC05BA" w:rsidRDefault="00AC05BA" w:rsidP="00AC05BA">
      <w:pPr>
        <w:spacing w:after="0" w:line="240" w:lineRule="auto"/>
        <w:rPr>
          <w:b/>
          <w:bCs/>
        </w:rPr>
      </w:pPr>
      <w:r w:rsidRPr="00AC05BA">
        <w:rPr>
          <w:b/>
          <w:bCs/>
        </w:rPr>
        <w:t>Référentiel</w:t>
      </w:r>
    </w:p>
    <w:p w14:paraId="49863CBB" w14:textId="77777777" w:rsidR="00AC05BA" w:rsidRDefault="00AC05BA" w:rsidP="00AC05BA">
      <w:pPr>
        <w:spacing w:after="0" w:line="240" w:lineRule="auto"/>
      </w:pPr>
      <w:r w:rsidRPr="00AC05BA">
        <w:rPr>
          <w:b/>
          <w:bCs/>
        </w:rPr>
        <w:lastRenderedPageBreak/>
        <w:t xml:space="preserve">Référentiel DCG 2026 </w:t>
      </w:r>
      <w:r>
        <w:rPr>
          <w:b/>
          <w:bCs/>
        </w:rPr>
        <w:t>-</w:t>
      </w:r>
      <w:r w:rsidRPr="00AC05BA">
        <w:rPr>
          <w:b/>
          <w:bCs/>
        </w:rPr>
        <w:t xml:space="preserve"> DROIT DES AFFAIRES </w:t>
      </w:r>
      <w:r>
        <w:rPr>
          <w:b/>
          <w:bCs/>
        </w:rPr>
        <w:t>-</w:t>
      </w:r>
      <w:r w:rsidRPr="00AC05BA">
        <w:rPr>
          <w:b/>
          <w:bCs/>
        </w:rPr>
        <w:t xml:space="preserve"> 3.3 Proposer des choix de financement adaptés aux besoins du client</w:t>
      </w:r>
    </w:p>
    <w:p w14:paraId="3578946A" w14:textId="422967F7" w:rsidR="00AC05BA" w:rsidRPr="00AC05BA" w:rsidRDefault="00AC05BA" w:rsidP="00AC05BA">
      <w:pPr>
        <w:spacing w:after="0" w:line="240" w:lineRule="auto"/>
      </w:pPr>
      <w:r w:rsidRPr="00AC05BA">
        <w:t>Référentiel officiel chargé.</w:t>
      </w:r>
    </w:p>
    <w:p w14:paraId="6DE274A8" w14:textId="77777777" w:rsidR="00AC05BA" w:rsidRPr="00AC05BA" w:rsidRDefault="00AC05BA" w:rsidP="00AC05BA">
      <w:pPr>
        <w:spacing w:after="0" w:line="240" w:lineRule="auto"/>
        <w:rPr>
          <w:b/>
          <w:bCs/>
        </w:rPr>
      </w:pPr>
      <w:r w:rsidRPr="00AC05BA">
        <w:rPr>
          <w:b/>
          <w:bCs/>
        </w:rPr>
        <w:t>Augmentation de capital</w:t>
      </w:r>
    </w:p>
    <w:p w14:paraId="234FF6C9" w14:textId="77777777" w:rsidR="00AC05BA" w:rsidRDefault="00AC05BA" w:rsidP="00AC05BA">
      <w:pPr>
        <w:spacing w:after="0" w:line="240" w:lineRule="auto"/>
      </w:pPr>
      <w:r w:rsidRPr="00AC05BA">
        <w:rPr>
          <w:b/>
          <w:bCs/>
        </w:rPr>
        <w:t xml:space="preserve">Code de commerce </w:t>
      </w:r>
      <w:r>
        <w:rPr>
          <w:b/>
          <w:bCs/>
        </w:rPr>
        <w:t>-</w:t>
      </w:r>
      <w:r w:rsidRPr="00AC05BA">
        <w:rPr>
          <w:b/>
          <w:bCs/>
        </w:rPr>
        <w:t xml:space="preserve"> articles L. 225-127 à L. 225-150</w:t>
      </w:r>
    </w:p>
    <w:p w14:paraId="23A23C2E" w14:textId="3DD4AF25" w:rsidR="00AC05BA" w:rsidRPr="00AC05BA" w:rsidRDefault="00AC05BA" w:rsidP="00AC05BA">
      <w:pPr>
        <w:spacing w:after="0" w:line="240" w:lineRule="auto"/>
      </w:pPr>
      <w:hyperlink r:id="rId50" w:history="1">
        <w:r w:rsidRPr="00AC05BA">
          <w:rPr>
            <w:rStyle w:val="Lienhypertexte"/>
          </w:rPr>
          <w:t>https://www.legifrance.gouv.fr/codes/section_lc/LEGITEXT000005634379/LEGISCTA000006178762/</w:t>
        </w:r>
      </w:hyperlink>
    </w:p>
    <w:p w14:paraId="22235F98" w14:textId="1DD9782F" w:rsidR="00AC05BA" w:rsidRDefault="00AC05BA" w:rsidP="00AC05BA">
      <w:pPr>
        <w:spacing w:after="0" w:line="240" w:lineRule="auto"/>
      </w:pPr>
      <w:r w:rsidRPr="00AC05BA">
        <w:rPr>
          <w:b/>
          <w:bCs/>
        </w:rPr>
        <w:t xml:space="preserve">Code de commerce </w:t>
      </w:r>
      <w:r>
        <w:rPr>
          <w:b/>
          <w:bCs/>
        </w:rPr>
        <w:t>-</w:t>
      </w:r>
      <w:r w:rsidRPr="00AC05BA">
        <w:rPr>
          <w:b/>
          <w:bCs/>
        </w:rPr>
        <w:t xml:space="preserve"> article L. 225-128</w:t>
      </w:r>
      <w:r>
        <w:rPr>
          <w:b/>
          <w:bCs/>
        </w:rPr>
        <w:t> :</w:t>
      </w:r>
      <w:r w:rsidRPr="00AC05BA">
        <w:rPr>
          <w:b/>
          <w:bCs/>
        </w:rPr>
        <w:t xml:space="preserve"> modalités de libération</w:t>
      </w:r>
    </w:p>
    <w:p w14:paraId="21EB80F6" w14:textId="4DBB366A" w:rsidR="00AC05BA" w:rsidRPr="00AC05BA" w:rsidRDefault="00AC05BA" w:rsidP="00AC05BA">
      <w:pPr>
        <w:spacing w:after="0" w:line="240" w:lineRule="auto"/>
      </w:pPr>
      <w:hyperlink r:id="rId51" w:history="1">
        <w:r w:rsidRPr="00AC05BA">
          <w:rPr>
            <w:rStyle w:val="Lienhypertexte"/>
          </w:rPr>
          <w:t>https://www.legifrance.gouv.fr/codes/section_lc/LEGITEXT000005634379/LEGISCTA000006178762/</w:t>
        </w:r>
      </w:hyperlink>
    </w:p>
    <w:p w14:paraId="09F2261A" w14:textId="657749C8" w:rsidR="00AC05BA" w:rsidRDefault="00AC05BA" w:rsidP="00AC05BA">
      <w:pPr>
        <w:spacing w:after="0" w:line="240" w:lineRule="auto"/>
      </w:pPr>
      <w:r w:rsidRPr="00AC05BA">
        <w:rPr>
          <w:b/>
          <w:bCs/>
        </w:rPr>
        <w:t xml:space="preserve">Code de commerce </w:t>
      </w:r>
      <w:r>
        <w:rPr>
          <w:b/>
          <w:bCs/>
        </w:rPr>
        <w:t>-</w:t>
      </w:r>
      <w:r w:rsidRPr="00AC05BA">
        <w:rPr>
          <w:b/>
          <w:bCs/>
        </w:rPr>
        <w:t xml:space="preserve"> article L. 225-130</w:t>
      </w:r>
      <w:r>
        <w:rPr>
          <w:b/>
          <w:bCs/>
        </w:rPr>
        <w:t> :</w:t>
      </w:r>
      <w:r w:rsidRPr="00AC05BA">
        <w:rPr>
          <w:b/>
          <w:bCs/>
        </w:rPr>
        <w:t xml:space="preserve"> incorporation de réserves, bénéfices ou primes</w:t>
      </w:r>
    </w:p>
    <w:p w14:paraId="62BF2572" w14:textId="421710F4" w:rsidR="00AC05BA" w:rsidRPr="00AC05BA" w:rsidRDefault="00AC05BA" w:rsidP="00AC05BA">
      <w:pPr>
        <w:spacing w:after="0" w:line="240" w:lineRule="auto"/>
      </w:pPr>
      <w:hyperlink r:id="rId52" w:history="1">
        <w:r w:rsidRPr="00AC05BA">
          <w:rPr>
            <w:rStyle w:val="Lienhypertexte"/>
          </w:rPr>
          <w:t>https://www.legifrance.gouv.fr/codes/article_lc/LEGIARTI000042339726</w:t>
        </w:r>
      </w:hyperlink>
    </w:p>
    <w:p w14:paraId="5825C430" w14:textId="07DD4F83" w:rsidR="00AC05BA" w:rsidRDefault="00AC05BA" w:rsidP="00AC05BA">
      <w:pPr>
        <w:spacing w:after="0" w:line="240" w:lineRule="auto"/>
      </w:pPr>
      <w:r w:rsidRPr="00AC05BA">
        <w:rPr>
          <w:b/>
          <w:bCs/>
        </w:rPr>
        <w:t xml:space="preserve">Code de commerce </w:t>
      </w:r>
      <w:r>
        <w:rPr>
          <w:b/>
          <w:bCs/>
        </w:rPr>
        <w:t>-</w:t>
      </w:r>
      <w:r w:rsidRPr="00AC05BA">
        <w:rPr>
          <w:b/>
          <w:bCs/>
        </w:rPr>
        <w:t xml:space="preserve"> article L. 225-132</w:t>
      </w:r>
      <w:r>
        <w:rPr>
          <w:b/>
          <w:bCs/>
        </w:rPr>
        <w:t> :</w:t>
      </w:r>
      <w:r w:rsidRPr="00AC05BA">
        <w:rPr>
          <w:b/>
          <w:bCs/>
        </w:rPr>
        <w:t xml:space="preserve"> droit préférentiel de souscription</w:t>
      </w:r>
    </w:p>
    <w:p w14:paraId="5A0C7C93" w14:textId="29AC7589" w:rsidR="00AC05BA" w:rsidRPr="00AC05BA" w:rsidRDefault="00AC05BA" w:rsidP="00AC05BA">
      <w:pPr>
        <w:spacing w:after="0" w:line="240" w:lineRule="auto"/>
      </w:pPr>
      <w:hyperlink r:id="rId53" w:history="1">
        <w:r w:rsidRPr="00AC05BA">
          <w:rPr>
            <w:rStyle w:val="Lienhypertexte"/>
          </w:rPr>
          <w:t>https://www.legifrance.gouv.fr/codes/article_lc/LEGIARTI000029329359</w:t>
        </w:r>
      </w:hyperlink>
    </w:p>
    <w:p w14:paraId="3E98B5C0" w14:textId="411E0165" w:rsidR="00AC05BA" w:rsidRDefault="00AC05BA" w:rsidP="00AC05BA">
      <w:pPr>
        <w:spacing w:after="0" w:line="240" w:lineRule="auto"/>
      </w:pPr>
      <w:r w:rsidRPr="00AC05BA">
        <w:rPr>
          <w:b/>
          <w:bCs/>
        </w:rPr>
        <w:t xml:space="preserve">Code de commerce </w:t>
      </w:r>
      <w:r>
        <w:rPr>
          <w:b/>
          <w:bCs/>
        </w:rPr>
        <w:t>-</w:t>
      </w:r>
      <w:r w:rsidRPr="00AC05BA">
        <w:rPr>
          <w:b/>
          <w:bCs/>
        </w:rPr>
        <w:t xml:space="preserve"> article L. 225-146</w:t>
      </w:r>
      <w:r>
        <w:rPr>
          <w:b/>
          <w:bCs/>
        </w:rPr>
        <w:t> :</w:t>
      </w:r>
      <w:r w:rsidRPr="00AC05BA">
        <w:rPr>
          <w:b/>
          <w:bCs/>
        </w:rPr>
        <w:t xml:space="preserve"> libération par compensation de créance</w:t>
      </w:r>
    </w:p>
    <w:p w14:paraId="2C13FE67" w14:textId="3BE440DA" w:rsidR="00AC05BA" w:rsidRPr="00AC05BA" w:rsidRDefault="00AC05BA" w:rsidP="00AC05BA">
      <w:pPr>
        <w:spacing w:after="0" w:line="240" w:lineRule="auto"/>
      </w:pPr>
      <w:hyperlink r:id="rId54" w:history="1">
        <w:r w:rsidRPr="00AC05BA">
          <w:rPr>
            <w:rStyle w:val="Lienhypertexte"/>
          </w:rPr>
          <w:t>https://www.legifrance.gouv.fr/codes/article_lc/LEGIARTI000042339695</w:t>
        </w:r>
      </w:hyperlink>
    </w:p>
    <w:p w14:paraId="16137795" w14:textId="213EF0BF" w:rsidR="00AC05BA" w:rsidRPr="00AC05BA" w:rsidRDefault="00AC05BA" w:rsidP="00AC05BA">
      <w:pPr>
        <w:spacing w:after="0" w:line="240" w:lineRule="auto"/>
        <w:rPr>
          <w:b/>
          <w:bCs/>
        </w:rPr>
      </w:pPr>
      <w:r w:rsidRPr="00AC05BA">
        <w:rPr>
          <w:b/>
          <w:bCs/>
        </w:rPr>
        <w:t>SARL</w:t>
      </w:r>
      <w:r>
        <w:rPr>
          <w:b/>
          <w:bCs/>
        </w:rPr>
        <w:t> :</w:t>
      </w:r>
      <w:r w:rsidRPr="00AC05BA">
        <w:rPr>
          <w:b/>
          <w:bCs/>
        </w:rPr>
        <w:t xml:space="preserve"> opérations sur le capital</w:t>
      </w:r>
    </w:p>
    <w:p w14:paraId="13D9843F" w14:textId="3E083DAC" w:rsidR="00AC05BA" w:rsidRDefault="00AC05BA" w:rsidP="00AC05BA">
      <w:pPr>
        <w:spacing w:after="0" w:line="240" w:lineRule="auto"/>
      </w:pPr>
      <w:r w:rsidRPr="00AC05BA">
        <w:rPr>
          <w:b/>
          <w:bCs/>
        </w:rPr>
        <w:t xml:space="preserve">Code de commerce </w:t>
      </w:r>
      <w:r>
        <w:rPr>
          <w:b/>
          <w:bCs/>
        </w:rPr>
        <w:t>-</w:t>
      </w:r>
      <w:r w:rsidRPr="00AC05BA">
        <w:rPr>
          <w:b/>
          <w:bCs/>
        </w:rPr>
        <w:t xml:space="preserve"> article L. 223-30</w:t>
      </w:r>
      <w:r>
        <w:rPr>
          <w:b/>
          <w:bCs/>
        </w:rPr>
        <w:t> :</w:t>
      </w:r>
      <w:r w:rsidRPr="00AC05BA">
        <w:rPr>
          <w:b/>
          <w:bCs/>
        </w:rPr>
        <w:t xml:space="preserve"> modification du capital</w:t>
      </w:r>
    </w:p>
    <w:p w14:paraId="03DF5185" w14:textId="03815654" w:rsidR="00AC05BA" w:rsidRPr="00AC05BA" w:rsidRDefault="00AC05BA" w:rsidP="00AC05BA">
      <w:pPr>
        <w:spacing w:after="0" w:line="240" w:lineRule="auto"/>
      </w:pPr>
      <w:hyperlink r:id="rId55" w:history="1">
        <w:r w:rsidRPr="00AC05BA">
          <w:rPr>
            <w:rStyle w:val="Lienhypertexte"/>
          </w:rPr>
          <w:t>https://www.legifrance.gouv.fr/codes/article_lc/LEGIARTI000038799345</w:t>
        </w:r>
      </w:hyperlink>
    </w:p>
    <w:p w14:paraId="67C82AC5" w14:textId="7F23352D" w:rsidR="00AC05BA" w:rsidRDefault="00AC05BA" w:rsidP="00AC05BA">
      <w:pPr>
        <w:spacing w:after="0" w:line="240" w:lineRule="auto"/>
      </w:pPr>
      <w:r w:rsidRPr="00AC05BA">
        <w:rPr>
          <w:b/>
          <w:bCs/>
        </w:rPr>
        <w:t xml:space="preserve">Code de commerce </w:t>
      </w:r>
      <w:r>
        <w:rPr>
          <w:b/>
          <w:bCs/>
        </w:rPr>
        <w:t>-</w:t>
      </w:r>
      <w:r w:rsidRPr="00AC05BA">
        <w:rPr>
          <w:b/>
          <w:bCs/>
        </w:rPr>
        <w:t xml:space="preserve"> article L. 223-32</w:t>
      </w:r>
      <w:r>
        <w:rPr>
          <w:b/>
          <w:bCs/>
        </w:rPr>
        <w:t> :</w:t>
      </w:r>
      <w:r w:rsidRPr="00AC05BA">
        <w:rPr>
          <w:b/>
          <w:bCs/>
        </w:rPr>
        <w:t xml:space="preserve"> augmentation en numéraire</w:t>
      </w:r>
    </w:p>
    <w:p w14:paraId="29470C3F" w14:textId="1AB3336A" w:rsidR="00AC05BA" w:rsidRPr="00AC05BA" w:rsidRDefault="00AC05BA" w:rsidP="00AC05BA">
      <w:pPr>
        <w:spacing w:after="0" w:line="240" w:lineRule="auto"/>
      </w:pPr>
      <w:hyperlink r:id="rId56" w:history="1">
        <w:r w:rsidRPr="00AC05BA">
          <w:rPr>
            <w:rStyle w:val="Lienhypertexte"/>
          </w:rPr>
          <w:t>https://www.legifrance.gouv.fr/codes/article_lc/LEGIARTI000025559543</w:t>
        </w:r>
      </w:hyperlink>
    </w:p>
    <w:p w14:paraId="5DF9769D" w14:textId="3AC63BDD" w:rsidR="00AC05BA" w:rsidRDefault="00AC05BA" w:rsidP="00AC05BA">
      <w:pPr>
        <w:spacing w:after="0" w:line="240" w:lineRule="auto"/>
      </w:pPr>
      <w:r w:rsidRPr="00AC05BA">
        <w:rPr>
          <w:b/>
          <w:bCs/>
        </w:rPr>
        <w:t xml:space="preserve">Code de commerce </w:t>
      </w:r>
      <w:r>
        <w:rPr>
          <w:b/>
          <w:bCs/>
        </w:rPr>
        <w:t>-</w:t>
      </w:r>
      <w:r w:rsidRPr="00AC05BA">
        <w:rPr>
          <w:b/>
          <w:bCs/>
        </w:rPr>
        <w:t xml:space="preserve"> article L. 223-33</w:t>
      </w:r>
      <w:r>
        <w:rPr>
          <w:b/>
          <w:bCs/>
        </w:rPr>
        <w:t> :</w:t>
      </w:r>
      <w:r w:rsidRPr="00AC05BA">
        <w:rPr>
          <w:b/>
          <w:bCs/>
        </w:rPr>
        <w:t xml:space="preserve"> augmentation par apports en nature</w:t>
      </w:r>
    </w:p>
    <w:p w14:paraId="25AD97D1" w14:textId="051DA96D" w:rsidR="00AC05BA" w:rsidRPr="00AC05BA" w:rsidRDefault="00AC05BA" w:rsidP="00AC05BA">
      <w:pPr>
        <w:spacing w:after="0" w:line="240" w:lineRule="auto"/>
      </w:pPr>
      <w:hyperlink r:id="rId57" w:history="1">
        <w:r w:rsidRPr="00AC05BA">
          <w:rPr>
            <w:rStyle w:val="Lienhypertexte"/>
          </w:rPr>
          <w:t>https://www.legifrance.gouv.fr/codes/article_lc/LEGIARTI000033613910</w:t>
        </w:r>
      </w:hyperlink>
    </w:p>
    <w:p w14:paraId="5F782853" w14:textId="52D91C03" w:rsidR="00AC05BA" w:rsidRDefault="00AC05BA" w:rsidP="00AC05BA">
      <w:pPr>
        <w:spacing w:after="0" w:line="240" w:lineRule="auto"/>
      </w:pPr>
      <w:r w:rsidRPr="00AC05BA">
        <w:rPr>
          <w:b/>
          <w:bCs/>
        </w:rPr>
        <w:t xml:space="preserve">Code de commerce </w:t>
      </w:r>
      <w:r>
        <w:rPr>
          <w:b/>
          <w:bCs/>
        </w:rPr>
        <w:t>-</w:t>
      </w:r>
      <w:r w:rsidRPr="00AC05BA">
        <w:rPr>
          <w:b/>
          <w:bCs/>
        </w:rPr>
        <w:t xml:space="preserve"> article L. 223-34</w:t>
      </w:r>
      <w:r>
        <w:rPr>
          <w:b/>
          <w:bCs/>
        </w:rPr>
        <w:t> :</w:t>
      </w:r>
      <w:r w:rsidRPr="00AC05BA">
        <w:rPr>
          <w:b/>
          <w:bCs/>
        </w:rPr>
        <w:t xml:space="preserve"> réduction du capital</w:t>
      </w:r>
    </w:p>
    <w:p w14:paraId="0FA5F8FB" w14:textId="464851D5" w:rsidR="00AC05BA" w:rsidRPr="00AC05BA" w:rsidRDefault="00AC05BA" w:rsidP="00AC05BA">
      <w:pPr>
        <w:spacing w:after="0" w:line="240" w:lineRule="auto"/>
      </w:pPr>
      <w:hyperlink r:id="rId58" w:history="1">
        <w:r w:rsidRPr="00AC05BA">
          <w:rPr>
            <w:rStyle w:val="Lienhypertexte"/>
          </w:rPr>
          <w:t>https://www.legifrance.gouv.fr/codes/article_lc/LEGIARTI000006223287</w:t>
        </w:r>
      </w:hyperlink>
    </w:p>
    <w:p w14:paraId="3BC0B947" w14:textId="2131027D" w:rsidR="00AC05BA" w:rsidRDefault="00AC05BA" w:rsidP="00AC05BA">
      <w:pPr>
        <w:spacing w:after="0" w:line="240" w:lineRule="auto"/>
      </w:pPr>
      <w:r w:rsidRPr="00AC05BA">
        <w:rPr>
          <w:b/>
          <w:bCs/>
        </w:rPr>
        <w:t xml:space="preserve">Code de commerce </w:t>
      </w:r>
      <w:r>
        <w:rPr>
          <w:b/>
          <w:bCs/>
        </w:rPr>
        <w:t>-</w:t>
      </w:r>
      <w:r w:rsidRPr="00AC05BA">
        <w:rPr>
          <w:b/>
          <w:bCs/>
        </w:rPr>
        <w:t xml:space="preserve"> article R. 223-35</w:t>
      </w:r>
      <w:r>
        <w:rPr>
          <w:b/>
          <w:bCs/>
        </w:rPr>
        <w:t> :</w:t>
      </w:r>
      <w:r w:rsidRPr="00AC05BA">
        <w:rPr>
          <w:b/>
          <w:bCs/>
        </w:rPr>
        <w:t xml:space="preserve"> opposition des créanciers</w:t>
      </w:r>
    </w:p>
    <w:p w14:paraId="6D4D76AB" w14:textId="1FAFF117" w:rsidR="00AC05BA" w:rsidRPr="00AC05BA" w:rsidRDefault="00AC05BA" w:rsidP="00AC05BA">
      <w:pPr>
        <w:spacing w:after="0" w:line="240" w:lineRule="auto"/>
      </w:pPr>
      <w:hyperlink r:id="rId59" w:history="1">
        <w:r w:rsidRPr="00AC05BA">
          <w:rPr>
            <w:rStyle w:val="Lienhypertexte"/>
          </w:rPr>
          <w:t>https://www.legifrance.gouv.fr/codes/article_lc/LEGIARTI000006260591</w:t>
        </w:r>
      </w:hyperlink>
    </w:p>
    <w:p w14:paraId="4FCE74E2" w14:textId="77777777" w:rsidR="00AC05BA" w:rsidRPr="00AC05BA" w:rsidRDefault="00AC05BA" w:rsidP="00AC05BA">
      <w:pPr>
        <w:spacing w:after="0" w:line="240" w:lineRule="auto"/>
        <w:rPr>
          <w:b/>
          <w:bCs/>
        </w:rPr>
      </w:pPr>
      <w:r w:rsidRPr="00AC05BA">
        <w:rPr>
          <w:b/>
          <w:bCs/>
        </w:rPr>
        <w:t>Réduction du capital des sociétés par actions</w:t>
      </w:r>
    </w:p>
    <w:p w14:paraId="25BAC9B6" w14:textId="77777777" w:rsidR="00AC05BA" w:rsidRDefault="00AC05BA" w:rsidP="00AC05BA">
      <w:pPr>
        <w:spacing w:after="0" w:line="240" w:lineRule="auto"/>
      </w:pPr>
      <w:r w:rsidRPr="00AC05BA">
        <w:rPr>
          <w:b/>
          <w:bCs/>
        </w:rPr>
        <w:t xml:space="preserve">Code de commerce </w:t>
      </w:r>
      <w:r>
        <w:rPr>
          <w:b/>
          <w:bCs/>
        </w:rPr>
        <w:t>-</w:t>
      </w:r>
      <w:r w:rsidRPr="00AC05BA">
        <w:rPr>
          <w:b/>
          <w:bCs/>
        </w:rPr>
        <w:t xml:space="preserve"> articles L. 225-204 et L. 225-205</w:t>
      </w:r>
    </w:p>
    <w:p w14:paraId="3E66D832" w14:textId="6B909BED" w:rsidR="00AC05BA" w:rsidRPr="00AC05BA" w:rsidRDefault="00AC05BA" w:rsidP="00AC05BA">
      <w:pPr>
        <w:spacing w:after="0" w:line="240" w:lineRule="auto"/>
      </w:pPr>
      <w:hyperlink r:id="rId60" w:history="1">
        <w:r w:rsidRPr="00AC05BA">
          <w:rPr>
            <w:rStyle w:val="Lienhypertexte"/>
          </w:rPr>
          <w:t>https://www.legifrance.gouv.fr/codes/id/LEGISCTA000006178841</w:t>
        </w:r>
      </w:hyperlink>
    </w:p>
    <w:p w14:paraId="67C53B32" w14:textId="6123A19C" w:rsidR="00AC05BA" w:rsidRDefault="00AC05BA" w:rsidP="00AC05BA">
      <w:pPr>
        <w:spacing w:after="0" w:line="240" w:lineRule="auto"/>
      </w:pPr>
      <w:r w:rsidRPr="00AC05BA">
        <w:rPr>
          <w:b/>
          <w:bCs/>
        </w:rPr>
        <w:t xml:space="preserve">Code de commerce </w:t>
      </w:r>
      <w:r>
        <w:rPr>
          <w:b/>
          <w:bCs/>
        </w:rPr>
        <w:t>-</w:t>
      </w:r>
      <w:r w:rsidRPr="00AC05BA">
        <w:rPr>
          <w:b/>
          <w:bCs/>
        </w:rPr>
        <w:t xml:space="preserve"> articles R. 225-150 et suivants</w:t>
      </w:r>
      <w:r>
        <w:rPr>
          <w:b/>
          <w:bCs/>
        </w:rPr>
        <w:t> :</w:t>
      </w:r>
      <w:r w:rsidRPr="00AC05BA">
        <w:rPr>
          <w:b/>
          <w:bCs/>
        </w:rPr>
        <w:t xml:space="preserve"> opposition des créanciers</w:t>
      </w:r>
    </w:p>
    <w:p w14:paraId="0A80C4B1" w14:textId="09D91347" w:rsidR="00AC05BA" w:rsidRPr="00AC05BA" w:rsidRDefault="00AC05BA" w:rsidP="00AC05BA">
      <w:pPr>
        <w:spacing w:after="0" w:line="240" w:lineRule="auto"/>
      </w:pPr>
      <w:hyperlink r:id="rId61" w:history="1">
        <w:r w:rsidRPr="00AC05BA">
          <w:rPr>
            <w:rStyle w:val="Lienhypertexte"/>
          </w:rPr>
          <w:t>https://www.legifrance.gouv.fr/codes/id/LEGISCTA000006178906</w:t>
        </w:r>
      </w:hyperlink>
    </w:p>
    <w:p w14:paraId="09067B91" w14:textId="77777777" w:rsidR="00AC05BA" w:rsidRPr="00AC05BA" w:rsidRDefault="00AC05BA" w:rsidP="00AC05BA">
      <w:pPr>
        <w:spacing w:after="0" w:line="240" w:lineRule="auto"/>
        <w:rPr>
          <w:b/>
          <w:bCs/>
        </w:rPr>
      </w:pPr>
      <w:r w:rsidRPr="00AC05BA">
        <w:rPr>
          <w:b/>
          <w:bCs/>
        </w:rPr>
        <w:t>Actions de préférence</w:t>
      </w:r>
    </w:p>
    <w:p w14:paraId="13DF6C89" w14:textId="77777777" w:rsidR="00AC05BA" w:rsidRDefault="00AC05BA" w:rsidP="00AC05BA">
      <w:pPr>
        <w:spacing w:after="0" w:line="240" w:lineRule="auto"/>
      </w:pPr>
      <w:r w:rsidRPr="00AC05BA">
        <w:rPr>
          <w:b/>
          <w:bCs/>
        </w:rPr>
        <w:t xml:space="preserve">Code de commerce </w:t>
      </w:r>
      <w:r>
        <w:rPr>
          <w:b/>
          <w:bCs/>
        </w:rPr>
        <w:t>-</w:t>
      </w:r>
      <w:r w:rsidRPr="00AC05BA">
        <w:rPr>
          <w:b/>
          <w:bCs/>
        </w:rPr>
        <w:t xml:space="preserve"> article L. 228-11</w:t>
      </w:r>
    </w:p>
    <w:p w14:paraId="58BF252B" w14:textId="147CD40B" w:rsidR="00AC05BA" w:rsidRPr="00AC05BA" w:rsidRDefault="00AC05BA" w:rsidP="00AC05BA">
      <w:pPr>
        <w:spacing w:after="0" w:line="240" w:lineRule="auto"/>
      </w:pPr>
      <w:hyperlink r:id="rId62" w:history="1">
        <w:r w:rsidRPr="00AC05BA">
          <w:rPr>
            <w:rStyle w:val="Lienhypertexte"/>
          </w:rPr>
          <w:t>https://www.legifrance.gouv.fr/codes/article_lc/LEGIARTI000049720022</w:t>
        </w:r>
      </w:hyperlink>
    </w:p>
    <w:p w14:paraId="07C769E8" w14:textId="77777777" w:rsidR="00AC05BA" w:rsidRDefault="00AC05BA" w:rsidP="00AC05BA">
      <w:pPr>
        <w:spacing w:after="0" w:line="240" w:lineRule="auto"/>
      </w:pPr>
      <w:r w:rsidRPr="00AC05BA">
        <w:rPr>
          <w:b/>
          <w:bCs/>
        </w:rPr>
        <w:t xml:space="preserve">Code de commerce </w:t>
      </w:r>
      <w:r>
        <w:rPr>
          <w:b/>
          <w:bCs/>
        </w:rPr>
        <w:t>-</w:t>
      </w:r>
      <w:r w:rsidRPr="00AC05BA">
        <w:rPr>
          <w:b/>
          <w:bCs/>
        </w:rPr>
        <w:t xml:space="preserve"> article L. 228-12</w:t>
      </w:r>
    </w:p>
    <w:p w14:paraId="3801C501" w14:textId="7D5382A2" w:rsidR="00AC05BA" w:rsidRPr="00AC05BA" w:rsidRDefault="00AC05BA" w:rsidP="00AC05BA">
      <w:pPr>
        <w:spacing w:after="0" w:line="240" w:lineRule="auto"/>
      </w:pPr>
      <w:hyperlink r:id="rId63" w:history="1">
        <w:r w:rsidRPr="00AC05BA">
          <w:rPr>
            <w:rStyle w:val="Lienhypertexte"/>
          </w:rPr>
          <w:t>https://www.legifrance.gouv.fr/codes/article_lc/LEGIARTI000038612729</w:t>
        </w:r>
      </w:hyperlink>
    </w:p>
    <w:p w14:paraId="36EF7DCC" w14:textId="77777777" w:rsidR="00AC05BA" w:rsidRPr="00AC05BA" w:rsidRDefault="00AC05BA" w:rsidP="00AC05BA">
      <w:pPr>
        <w:spacing w:after="0" w:line="240" w:lineRule="auto"/>
        <w:rPr>
          <w:b/>
          <w:bCs/>
        </w:rPr>
      </w:pPr>
      <w:r w:rsidRPr="00AC05BA">
        <w:rPr>
          <w:b/>
          <w:bCs/>
        </w:rPr>
        <w:t>Obligations</w:t>
      </w:r>
    </w:p>
    <w:p w14:paraId="303A2665" w14:textId="0DDDBEAC" w:rsidR="00AC05BA" w:rsidRDefault="00AC05BA" w:rsidP="00AC05BA">
      <w:pPr>
        <w:spacing w:after="0" w:line="240" w:lineRule="auto"/>
      </w:pPr>
      <w:r w:rsidRPr="00AC05BA">
        <w:rPr>
          <w:b/>
          <w:bCs/>
        </w:rPr>
        <w:t xml:space="preserve">Code monétaire et financier </w:t>
      </w:r>
      <w:r>
        <w:rPr>
          <w:b/>
          <w:bCs/>
        </w:rPr>
        <w:t>-</w:t>
      </w:r>
      <w:r w:rsidRPr="00AC05BA">
        <w:rPr>
          <w:b/>
          <w:bCs/>
        </w:rPr>
        <w:t xml:space="preserve"> article L. 213-5</w:t>
      </w:r>
      <w:r>
        <w:rPr>
          <w:b/>
          <w:bCs/>
        </w:rPr>
        <w:t> :</w:t>
      </w:r>
      <w:r w:rsidRPr="00AC05BA">
        <w:rPr>
          <w:b/>
          <w:bCs/>
        </w:rPr>
        <w:t xml:space="preserve"> définition de l’obligation</w:t>
      </w:r>
    </w:p>
    <w:p w14:paraId="1CB9CB0F" w14:textId="08368FE0" w:rsidR="00AC05BA" w:rsidRPr="00AC05BA" w:rsidRDefault="00AC05BA" w:rsidP="00AC05BA">
      <w:pPr>
        <w:spacing w:after="0" w:line="240" w:lineRule="auto"/>
      </w:pPr>
      <w:hyperlink r:id="rId64" w:history="1">
        <w:r w:rsidRPr="00AC05BA">
          <w:rPr>
            <w:rStyle w:val="Lienhypertexte"/>
          </w:rPr>
          <w:t>https://www.legifrance.gouv.fr/codes/article_lc/LEGIARTI000006654266</w:t>
        </w:r>
      </w:hyperlink>
    </w:p>
    <w:p w14:paraId="3E55F884" w14:textId="77777777" w:rsidR="00AC05BA" w:rsidRDefault="00AC05BA" w:rsidP="00AC05BA">
      <w:pPr>
        <w:spacing w:after="0" w:line="240" w:lineRule="auto"/>
      </w:pPr>
      <w:r w:rsidRPr="00AC05BA">
        <w:rPr>
          <w:b/>
          <w:bCs/>
        </w:rPr>
        <w:t xml:space="preserve">Code de commerce </w:t>
      </w:r>
      <w:r>
        <w:rPr>
          <w:b/>
          <w:bCs/>
        </w:rPr>
        <w:t>-</w:t>
      </w:r>
      <w:r w:rsidRPr="00AC05BA">
        <w:rPr>
          <w:b/>
          <w:bCs/>
        </w:rPr>
        <w:t xml:space="preserve"> articles L. 228-38 à L. 228-90</w:t>
      </w:r>
    </w:p>
    <w:p w14:paraId="1EAFD106" w14:textId="41DFB600" w:rsidR="00AC05BA" w:rsidRPr="00AC05BA" w:rsidRDefault="00AC05BA" w:rsidP="00AC05BA">
      <w:pPr>
        <w:spacing w:after="0" w:line="240" w:lineRule="auto"/>
      </w:pPr>
      <w:hyperlink r:id="rId65" w:history="1">
        <w:r w:rsidRPr="00AC05BA">
          <w:rPr>
            <w:rStyle w:val="Lienhypertexte"/>
          </w:rPr>
          <w:t>https://www.legifrance.gouv.fr/codes/section_lc/LEGITEXT000005634379/LEGISCTA000006161285/</w:t>
        </w:r>
      </w:hyperlink>
    </w:p>
    <w:p w14:paraId="3C3098B3" w14:textId="0B2273C8" w:rsidR="00AC05BA" w:rsidRDefault="00AC05BA" w:rsidP="00AC05BA">
      <w:pPr>
        <w:spacing w:after="0" w:line="240" w:lineRule="auto"/>
      </w:pPr>
      <w:r w:rsidRPr="00AC05BA">
        <w:rPr>
          <w:b/>
          <w:bCs/>
        </w:rPr>
        <w:lastRenderedPageBreak/>
        <w:t xml:space="preserve">Code de commerce </w:t>
      </w:r>
      <w:r>
        <w:rPr>
          <w:b/>
          <w:bCs/>
        </w:rPr>
        <w:t>-</w:t>
      </w:r>
      <w:r w:rsidRPr="00AC05BA">
        <w:rPr>
          <w:b/>
          <w:bCs/>
        </w:rPr>
        <w:t xml:space="preserve"> article L. 228-39</w:t>
      </w:r>
      <w:r>
        <w:rPr>
          <w:b/>
          <w:bCs/>
        </w:rPr>
        <w:t> :</w:t>
      </w:r>
      <w:r w:rsidRPr="00AC05BA">
        <w:rPr>
          <w:b/>
          <w:bCs/>
        </w:rPr>
        <w:t xml:space="preserve"> conditions d’émission</w:t>
      </w:r>
    </w:p>
    <w:p w14:paraId="59F28D19" w14:textId="032BA39E" w:rsidR="00AC05BA" w:rsidRPr="00AC05BA" w:rsidRDefault="00AC05BA" w:rsidP="00AC05BA">
      <w:pPr>
        <w:spacing w:after="0" w:line="240" w:lineRule="auto"/>
      </w:pPr>
      <w:hyperlink r:id="rId66" w:history="1">
        <w:r w:rsidRPr="00AC05BA">
          <w:rPr>
            <w:rStyle w:val="Lienhypertexte"/>
          </w:rPr>
          <w:t>https://www.legifrance.gouv.fr/codes/article_lc/LEGIARTI000048539451</w:t>
        </w:r>
      </w:hyperlink>
    </w:p>
    <w:p w14:paraId="6542CF8C" w14:textId="48333ADA" w:rsidR="00AC05BA" w:rsidRDefault="00AC05BA" w:rsidP="00AC05BA">
      <w:pPr>
        <w:spacing w:after="0" w:line="240" w:lineRule="auto"/>
      </w:pPr>
      <w:r w:rsidRPr="00AC05BA">
        <w:rPr>
          <w:b/>
          <w:bCs/>
        </w:rPr>
        <w:t xml:space="preserve">Code de commerce </w:t>
      </w:r>
      <w:r>
        <w:rPr>
          <w:b/>
          <w:bCs/>
        </w:rPr>
        <w:t>-</w:t>
      </w:r>
      <w:r w:rsidRPr="00AC05BA">
        <w:rPr>
          <w:b/>
          <w:bCs/>
        </w:rPr>
        <w:t xml:space="preserve"> article L. 228-40</w:t>
      </w:r>
      <w:r>
        <w:rPr>
          <w:b/>
          <w:bCs/>
        </w:rPr>
        <w:t> :</w:t>
      </w:r>
      <w:r w:rsidRPr="00AC05BA">
        <w:rPr>
          <w:b/>
          <w:bCs/>
        </w:rPr>
        <w:t xml:space="preserve"> décision d’émission</w:t>
      </w:r>
    </w:p>
    <w:p w14:paraId="491BE195" w14:textId="2F5EDCA1" w:rsidR="00AC05BA" w:rsidRPr="00AC05BA" w:rsidRDefault="00AC05BA" w:rsidP="00AC05BA">
      <w:pPr>
        <w:spacing w:after="0" w:line="240" w:lineRule="auto"/>
      </w:pPr>
      <w:hyperlink r:id="rId67" w:history="1">
        <w:r w:rsidRPr="00AC05BA">
          <w:rPr>
            <w:rStyle w:val="Lienhypertexte"/>
          </w:rPr>
          <w:t>https://www.legifrance.gouv.fr/codes/article_lc/LEGIARTI000034799356</w:t>
        </w:r>
      </w:hyperlink>
    </w:p>
    <w:p w14:paraId="4475AA11" w14:textId="05403BDC" w:rsidR="00AC05BA" w:rsidRDefault="00AC05BA" w:rsidP="00AC05BA">
      <w:pPr>
        <w:spacing w:after="0" w:line="240" w:lineRule="auto"/>
      </w:pPr>
      <w:r w:rsidRPr="00AC05BA">
        <w:rPr>
          <w:b/>
          <w:bCs/>
        </w:rPr>
        <w:t xml:space="preserve">Code de commerce </w:t>
      </w:r>
      <w:r>
        <w:rPr>
          <w:b/>
          <w:bCs/>
        </w:rPr>
        <w:t>-</w:t>
      </w:r>
      <w:r w:rsidRPr="00AC05BA">
        <w:rPr>
          <w:b/>
          <w:bCs/>
        </w:rPr>
        <w:t xml:space="preserve"> article L. 228-46</w:t>
      </w:r>
      <w:r>
        <w:rPr>
          <w:b/>
          <w:bCs/>
        </w:rPr>
        <w:t> :</w:t>
      </w:r>
      <w:r w:rsidRPr="00AC05BA">
        <w:rPr>
          <w:b/>
          <w:bCs/>
        </w:rPr>
        <w:t xml:space="preserve"> masse des obligataires</w:t>
      </w:r>
    </w:p>
    <w:p w14:paraId="4DA9E160" w14:textId="4F211D80" w:rsidR="00AC05BA" w:rsidRPr="00AC05BA" w:rsidRDefault="00AC05BA" w:rsidP="00AC05BA">
      <w:pPr>
        <w:spacing w:after="0" w:line="240" w:lineRule="auto"/>
      </w:pPr>
      <w:hyperlink r:id="rId68" w:history="1">
        <w:r w:rsidRPr="00AC05BA">
          <w:rPr>
            <w:rStyle w:val="Lienhypertexte"/>
          </w:rPr>
          <w:t>https://www.legifrance.gouv.fr/codes/article_lc/LEGIARTI000029329451</w:t>
        </w:r>
      </w:hyperlink>
    </w:p>
    <w:p w14:paraId="2C1E651A" w14:textId="4FD3A697" w:rsidR="00AC05BA" w:rsidRDefault="00AC05BA" w:rsidP="00AC05BA">
      <w:pPr>
        <w:spacing w:after="0" w:line="240" w:lineRule="auto"/>
      </w:pPr>
      <w:r w:rsidRPr="00AC05BA">
        <w:rPr>
          <w:b/>
          <w:bCs/>
        </w:rPr>
        <w:t xml:space="preserve">Code de commerce </w:t>
      </w:r>
      <w:r>
        <w:rPr>
          <w:b/>
          <w:bCs/>
        </w:rPr>
        <w:t>-</w:t>
      </w:r>
      <w:r w:rsidRPr="00AC05BA">
        <w:rPr>
          <w:b/>
          <w:bCs/>
        </w:rPr>
        <w:t xml:space="preserve"> article L. 223-11</w:t>
      </w:r>
      <w:r>
        <w:rPr>
          <w:b/>
          <w:bCs/>
        </w:rPr>
        <w:t> :</w:t>
      </w:r>
      <w:r w:rsidRPr="00AC05BA">
        <w:rPr>
          <w:b/>
          <w:bCs/>
        </w:rPr>
        <w:t xml:space="preserve"> obligations émises par une SARL</w:t>
      </w:r>
    </w:p>
    <w:p w14:paraId="09380E53" w14:textId="710A1D99" w:rsidR="00AC05BA" w:rsidRPr="00AC05BA" w:rsidRDefault="00AC05BA" w:rsidP="00AC05BA">
      <w:pPr>
        <w:spacing w:after="0" w:line="240" w:lineRule="auto"/>
      </w:pPr>
      <w:hyperlink r:id="rId69" w:history="1">
        <w:r w:rsidRPr="00AC05BA">
          <w:rPr>
            <w:rStyle w:val="Lienhypertexte"/>
          </w:rPr>
          <w:t>https://www.legifrance.gouv.fr/codes/article_lc/LEGIARTI000039260280</w:t>
        </w:r>
      </w:hyperlink>
    </w:p>
    <w:p w14:paraId="468A2F96" w14:textId="77777777" w:rsidR="00AC05BA" w:rsidRPr="00AC05BA" w:rsidRDefault="00AC05BA" w:rsidP="00AC05BA">
      <w:pPr>
        <w:spacing w:after="0" w:line="240" w:lineRule="auto"/>
        <w:rPr>
          <w:b/>
          <w:bCs/>
        </w:rPr>
      </w:pPr>
      <w:r w:rsidRPr="00AC05BA">
        <w:rPr>
          <w:b/>
          <w:bCs/>
        </w:rPr>
        <w:t>Capitaux propres inférieurs à la moitié du capital</w:t>
      </w:r>
    </w:p>
    <w:p w14:paraId="5B82775D" w14:textId="77777777" w:rsidR="00AC05BA" w:rsidRDefault="00AC05BA" w:rsidP="00AC05BA">
      <w:pPr>
        <w:spacing w:after="0" w:line="240" w:lineRule="auto"/>
      </w:pPr>
      <w:r w:rsidRPr="00AC05BA">
        <w:rPr>
          <w:b/>
          <w:bCs/>
        </w:rPr>
        <w:t xml:space="preserve">Entreprendre Service Public </w:t>
      </w:r>
      <w:r>
        <w:rPr>
          <w:b/>
          <w:bCs/>
        </w:rPr>
        <w:t>-</w:t>
      </w:r>
      <w:r w:rsidRPr="00AC05BA">
        <w:rPr>
          <w:b/>
          <w:bCs/>
        </w:rPr>
        <w:t xml:space="preserve"> Perte de la moitié des capitaux propres</w:t>
      </w:r>
    </w:p>
    <w:p w14:paraId="3E50787D" w14:textId="25196D4A" w:rsidR="00AC05BA" w:rsidRPr="00AC05BA" w:rsidRDefault="00AC05BA" w:rsidP="00AC05BA">
      <w:pPr>
        <w:spacing w:after="0" w:line="240" w:lineRule="auto"/>
      </w:pPr>
      <w:hyperlink r:id="rId70" w:history="1">
        <w:r w:rsidRPr="00AC05BA">
          <w:rPr>
            <w:rStyle w:val="Lienhypertexte"/>
          </w:rPr>
          <w:t>https://entreprendre.service-public.gouv.fr/vosdroits/F36700</w:t>
        </w:r>
      </w:hyperlink>
    </w:p>
    <w:p w14:paraId="63A3ECEA" w14:textId="0699C70B" w:rsidR="00AC05BA" w:rsidRDefault="00AC05BA" w:rsidP="00AC05BA">
      <w:pPr>
        <w:spacing w:after="0" w:line="240" w:lineRule="auto"/>
      </w:pPr>
      <w:r w:rsidRPr="00AC05BA">
        <w:rPr>
          <w:b/>
          <w:bCs/>
        </w:rPr>
        <w:t xml:space="preserve">Code de commerce </w:t>
      </w:r>
      <w:r>
        <w:rPr>
          <w:b/>
          <w:bCs/>
        </w:rPr>
        <w:t>-</w:t>
      </w:r>
      <w:r w:rsidRPr="00AC05BA">
        <w:rPr>
          <w:b/>
          <w:bCs/>
        </w:rPr>
        <w:t xml:space="preserve"> article L. 223-42</w:t>
      </w:r>
      <w:r>
        <w:rPr>
          <w:b/>
          <w:bCs/>
        </w:rPr>
        <w:t> :</w:t>
      </w:r>
      <w:r w:rsidRPr="00AC05BA">
        <w:rPr>
          <w:b/>
          <w:bCs/>
        </w:rPr>
        <w:t xml:space="preserve"> SARL</w:t>
      </w:r>
    </w:p>
    <w:p w14:paraId="302B3BF0" w14:textId="372A0F91" w:rsidR="00AC05BA" w:rsidRPr="00AC05BA" w:rsidRDefault="00AC05BA" w:rsidP="00AC05BA">
      <w:pPr>
        <w:spacing w:after="0" w:line="240" w:lineRule="auto"/>
      </w:pPr>
      <w:hyperlink r:id="rId71" w:history="1">
        <w:r w:rsidRPr="00AC05BA">
          <w:rPr>
            <w:rStyle w:val="Lienhypertexte"/>
          </w:rPr>
          <w:t>https://www.legifrance.gouv.fr/codes/article_lc/LEGIARTI000047590393</w:t>
        </w:r>
      </w:hyperlink>
    </w:p>
    <w:p w14:paraId="6F021054" w14:textId="40280826" w:rsidR="00AC05BA" w:rsidRDefault="00AC05BA" w:rsidP="00AC05BA">
      <w:pPr>
        <w:spacing w:after="0" w:line="240" w:lineRule="auto"/>
      </w:pPr>
      <w:r w:rsidRPr="00AC05BA">
        <w:rPr>
          <w:b/>
          <w:bCs/>
        </w:rPr>
        <w:t xml:space="preserve">Code de commerce </w:t>
      </w:r>
      <w:r>
        <w:rPr>
          <w:b/>
          <w:bCs/>
        </w:rPr>
        <w:t>-</w:t>
      </w:r>
      <w:r w:rsidRPr="00AC05BA">
        <w:rPr>
          <w:b/>
          <w:bCs/>
        </w:rPr>
        <w:t xml:space="preserve"> article L. 225-248</w:t>
      </w:r>
      <w:r>
        <w:rPr>
          <w:b/>
          <w:bCs/>
        </w:rPr>
        <w:t> :</w:t>
      </w:r>
      <w:r w:rsidRPr="00AC05BA">
        <w:rPr>
          <w:b/>
          <w:bCs/>
        </w:rPr>
        <w:t xml:space="preserve"> SA et SAS</w:t>
      </w:r>
    </w:p>
    <w:p w14:paraId="05A72894" w14:textId="22C4B28A" w:rsidR="00AC05BA" w:rsidRPr="00AC05BA" w:rsidRDefault="00AC05BA" w:rsidP="00AC05BA">
      <w:pPr>
        <w:spacing w:after="0" w:line="240" w:lineRule="auto"/>
      </w:pPr>
      <w:hyperlink r:id="rId72" w:history="1">
        <w:r w:rsidRPr="00AC05BA">
          <w:rPr>
            <w:rStyle w:val="Lienhypertexte"/>
          </w:rPr>
          <w:t>https://www.legifrance.gouv.fr/codes/article_lc/LEGIARTI000047590401</w:t>
        </w:r>
      </w:hyperlink>
    </w:p>
    <w:p w14:paraId="78CC66B1" w14:textId="77777777" w:rsidR="00AC05BA" w:rsidRPr="00AC05BA" w:rsidRDefault="00AC05BA" w:rsidP="00AC05BA">
      <w:pPr>
        <w:spacing w:after="0" w:line="240" w:lineRule="auto"/>
        <w:rPr>
          <w:b/>
          <w:bCs/>
        </w:rPr>
      </w:pPr>
      <w:r w:rsidRPr="00AC05BA">
        <w:rPr>
          <w:b/>
          <w:bCs/>
        </w:rPr>
        <w:t>Compte courant d’associé</w:t>
      </w:r>
    </w:p>
    <w:p w14:paraId="59B9E58B" w14:textId="1381B928" w:rsidR="00AC05BA" w:rsidRDefault="00AC05BA" w:rsidP="00AC05BA">
      <w:pPr>
        <w:spacing w:after="0" w:line="240" w:lineRule="auto"/>
      </w:pPr>
      <w:r w:rsidRPr="00AC05BA">
        <w:rPr>
          <w:b/>
          <w:bCs/>
        </w:rPr>
        <w:t xml:space="preserve">Entreprendre Service Public </w:t>
      </w:r>
      <w:r>
        <w:rPr>
          <w:b/>
          <w:bCs/>
        </w:rPr>
        <w:t>-</w:t>
      </w:r>
      <w:r w:rsidRPr="00AC05BA">
        <w:rPr>
          <w:b/>
          <w:bCs/>
        </w:rPr>
        <w:t xml:space="preserve"> Compte courant d’associé</w:t>
      </w:r>
      <w:r>
        <w:rPr>
          <w:b/>
          <w:bCs/>
        </w:rPr>
        <w:t> :</w:t>
      </w:r>
      <w:r w:rsidRPr="00AC05BA">
        <w:rPr>
          <w:b/>
          <w:bCs/>
        </w:rPr>
        <w:t xml:space="preserve"> fonctionnement et fiscalité</w:t>
      </w:r>
    </w:p>
    <w:p w14:paraId="49783E56" w14:textId="77777777" w:rsidR="00AC05BA" w:rsidRDefault="00AC05BA" w:rsidP="00AC05BA">
      <w:pPr>
        <w:spacing w:after="0" w:line="240" w:lineRule="auto"/>
      </w:pPr>
      <w:hyperlink r:id="rId73" w:history="1">
        <w:r w:rsidRPr="00AC05BA">
          <w:rPr>
            <w:rStyle w:val="Lienhypertexte"/>
          </w:rPr>
          <w:t>https://entreprendre.service-public.gouv.fr/vosdroits/F32966</w:t>
        </w:r>
      </w:hyperlink>
    </w:p>
    <w:p w14:paraId="710D3BA6" w14:textId="1228FCD5" w:rsidR="000411E3" w:rsidRPr="00AB7DEF" w:rsidRDefault="000411E3" w:rsidP="00AC05BA">
      <w:pPr>
        <w:spacing w:after="0" w:line="240" w:lineRule="auto"/>
      </w:pPr>
    </w:p>
    <w:sectPr w:rsidR="000411E3" w:rsidRPr="00AB7DEF" w:rsidSect="00AC05BA">
      <w:footerReference w:type="default" r:id="rId74"/>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6E352E" w14:textId="77777777" w:rsidR="0042069B" w:rsidRDefault="0042069B" w:rsidP="00B870C7">
      <w:r>
        <w:separator/>
      </w:r>
    </w:p>
  </w:endnote>
  <w:endnote w:type="continuationSeparator" w:id="0">
    <w:p w14:paraId="5DA9E9C1" w14:textId="77777777" w:rsidR="0042069B" w:rsidRDefault="0042069B" w:rsidP="00B870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32505" w14:textId="4E4D2381" w:rsidR="00580F46" w:rsidRPr="00580F46" w:rsidRDefault="00580F46" w:rsidP="003028E5">
    <w:pPr>
      <w:pStyle w:val="Pieddepage"/>
      <w:tabs>
        <w:tab w:val="clear" w:pos="9072"/>
        <w:tab w:val="right" w:pos="10466"/>
      </w:tabs>
    </w:pPr>
    <w:r w:rsidRPr="00580F46">
      <w:rPr>
        <w:noProof/>
        <w:color w:val="156082" w:themeColor="accent1"/>
      </w:rPr>
      <w:drawing>
        <wp:inline distT="0" distB="0" distL="0" distR="0" wp14:anchorId="6D881229" wp14:editId="4350CF01">
          <wp:extent cx="1213794" cy="219075"/>
          <wp:effectExtent l="0" t="0" r="5715" b="0"/>
          <wp:docPr id="113721096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210962" name=""/>
                  <pic:cNvPicPr/>
                </pic:nvPicPr>
                <pic:blipFill>
                  <a:blip r:embed="rId1"/>
                  <a:stretch>
                    <a:fillRect/>
                  </a:stretch>
                </pic:blipFill>
                <pic:spPr>
                  <a:xfrm>
                    <a:off x="0" y="0"/>
                    <a:ext cx="1221249" cy="220421"/>
                  </a:xfrm>
                  <a:prstGeom prst="rect">
                    <a:avLst/>
                  </a:prstGeom>
                </pic:spPr>
              </pic:pic>
            </a:graphicData>
          </a:graphic>
        </wp:inline>
      </w:drawing>
    </w:r>
    <w:r w:rsidRPr="00580F46">
      <w:rPr>
        <w:color w:val="156082" w:themeColor="accent1"/>
      </w:rPr>
      <w:t xml:space="preserve"> </w:t>
    </w:r>
    <w:r>
      <w:rPr>
        <w:color w:val="156082" w:themeColor="accent1"/>
      </w:rPr>
      <w:tab/>
    </w:r>
    <w:r>
      <w:rPr>
        <w:color w:val="156082" w:themeColor="accent1"/>
      </w:rPr>
      <w:tab/>
    </w:r>
    <w:r w:rsidRPr="00580F46">
      <w:t xml:space="preserve">p. </w:t>
    </w:r>
    <w:r w:rsidRPr="00580F46">
      <w:fldChar w:fldCharType="begin"/>
    </w:r>
    <w:r w:rsidRPr="00580F46">
      <w:instrText>PAGE  \* Arabic</w:instrText>
    </w:r>
    <w:r w:rsidRPr="00580F46">
      <w:fldChar w:fldCharType="separate"/>
    </w:r>
    <w:r w:rsidRPr="00580F46">
      <w:t>1</w:t>
    </w:r>
    <w:r w:rsidRPr="00580F46">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F78168" w14:textId="77777777" w:rsidR="0042069B" w:rsidRDefault="0042069B" w:rsidP="00B870C7">
      <w:r>
        <w:separator/>
      </w:r>
    </w:p>
  </w:footnote>
  <w:footnote w:type="continuationSeparator" w:id="0">
    <w:p w14:paraId="74E09450" w14:textId="77777777" w:rsidR="0042069B" w:rsidRDefault="0042069B" w:rsidP="00B870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0608E"/>
    <w:multiLevelType w:val="multilevel"/>
    <w:tmpl w:val="06D8D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3947CC"/>
    <w:multiLevelType w:val="multilevel"/>
    <w:tmpl w:val="41389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FF1B19"/>
    <w:multiLevelType w:val="multilevel"/>
    <w:tmpl w:val="874CE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4A18DA"/>
    <w:multiLevelType w:val="multilevel"/>
    <w:tmpl w:val="43382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424E8D"/>
    <w:multiLevelType w:val="multilevel"/>
    <w:tmpl w:val="8280E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E7254C"/>
    <w:multiLevelType w:val="multilevel"/>
    <w:tmpl w:val="30464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806CA2"/>
    <w:multiLevelType w:val="multilevel"/>
    <w:tmpl w:val="94A28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572738"/>
    <w:multiLevelType w:val="multilevel"/>
    <w:tmpl w:val="7A929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4A521C0"/>
    <w:multiLevelType w:val="multilevel"/>
    <w:tmpl w:val="DFF0B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512B33"/>
    <w:multiLevelType w:val="multilevel"/>
    <w:tmpl w:val="E4B0E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541E07"/>
    <w:multiLevelType w:val="multilevel"/>
    <w:tmpl w:val="4860F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3B50D83"/>
    <w:multiLevelType w:val="multilevel"/>
    <w:tmpl w:val="F94A4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B01B0B"/>
    <w:multiLevelType w:val="multilevel"/>
    <w:tmpl w:val="79EA8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58E78C2"/>
    <w:multiLevelType w:val="multilevel"/>
    <w:tmpl w:val="E94A3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5C23D4E"/>
    <w:multiLevelType w:val="multilevel"/>
    <w:tmpl w:val="3AA8B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74F4713"/>
    <w:multiLevelType w:val="multilevel"/>
    <w:tmpl w:val="C6F8B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AAD6FA0"/>
    <w:multiLevelType w:val="multilevel"/>
    <w:tmpl w:val="14CE9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E3D190D"/>
    <w:multiLevelType w:val="multilevel"/>
    <w:tmpl w:val="6DA85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EF70021"/>
    <w:multiLevelType w:val="multilevel"/>
    <w:tmpl w:val="3D02D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0BE2FFA"/>
    <w:multiLevelType w:val="multilevel"/>
    <w:tmpl w:val="7E728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42A6C5E"/>
    <w:multiLevelType w:val="multilevel"/>
    <w:tmpl w:val="330A5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6D37DF3"/>
    <w:multiLevelType w:val="multilevel"/>
    <w:tmpl w:val="5CD49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6E07E52"/>
    <w:multiLevelType w:val="multilevel"/>
    <w:tmpl w:val="DDDA7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9D30BDC"/>
    <w:multiLevelType w:val="multilevel"/>
    <w:tmpl w:val="6C382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ACF66DA"/>
    <w:multiLevelType w:val="multilevel"/>
    <w:tmpl w:val="25441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F125A27"/>
    <w:multiLevelType w:val="multilevel"/>
    <w:tmpl w:val="C630B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4DE2DDF"/>
    <w:multiLevelType w:val="multilevel"/>
    <w:tmpl w:val="E402B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D730794"/>
    <w:multiLevelType w:val="multilevel"/>
    <w:tmpl w:val="CA828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04D694E"/>
    <w:multiLevelType w:val="multilevel"/>
    <w:tmpl w:val="3E84C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413155E"/>
    <w:multiLevelType w:val="multilevel"/>
    <w:tmpl w:val="C6FAD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663657D"/>
    <w:multiLevelType w:val="multilevel"/>
    <w:tmpl w:val="85D82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8C70BCF"/>
    <w:multiLevelType w:val="multilevel"/>
    <w:tmpl w:val="470E3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91B3489"/>
    <w:multiLevelType w:val="multilevel"/>
    <w:tmpl w:val="59DCB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B2B4515"/>
    <w:multiLevelType w:val="multilevel"/>
    <w:tmpl w:val="EE1E8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2E77BDF"/>
    <w:multiLevelType w:val="multilevel"/>
    <w:tmpl w:val="E0D4E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C89140B"/>
    <w:multiLevelType w:val="multilevel"/>
    <w:tmpl w:val="45263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F027A3D"/>
    <w:multiLevelType w:val="multilevel"/>
    <w:tmpl w:val="AB08C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03D25E3"/>
    <w:multiLevelType w:val="multilevel"/>
    <w:tmpl w:val="72941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66B2683"/>
    <w:multiLevelType w:val="multilevel"/>
    <w:tmpl w:val="4E966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8344386"/>
    <w:multiLevelType w:val="multilevel"/>
    <w:tmpl w:val="7CECF2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B1948C7"/>
    <w:multiLevelType w:val="multilevel"/>
    <w:tmpl w:val="5AC48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FE258CD"/>
    <w:multiLevelType w:val="multilevel"/>
    <w:tmpl w:val="D354C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10184508">
    <w:abstractNumId w:val="1"/>
  </w:num>
  <w:num w:numId="2" w16cid:durableId="1141388518">
    <w:abstractNumId w:val="3"/>
  </w:num>
  <w:num w:numId="3" w16cid:durableId="781337586">
    <w:abstractNumId w:val="7"/>
  </w:num>
  <w:num w:numId="4" w16cid:durableId="735400459">
    <w:abstractNumId w:val="34"/>
  </w:num>
  <w:num w:numId="5" w16cid:durableId="1705474477">
    <w:abstractNumId w:val="24"/>
  </w:num>
  <w:num w:numId="6" w16cid:durableId="1160804564">
    <w:abstractNumId w:val="15"/>
  </w:num>
  <w:num w:numId="7" w16cid:durableId="2111582228">
    <w:abstractNumId w:val="17"/>
  </w:num>
  <w:num w:numId="8" w16cid:durableId="1957175344">
    <w:abstractNumId w:val="10"/>
  </w:num>
  <w:num w:numId="9" w16cid:durableId="1713919525">
    <w:abstractNumId w:val="4"/>
  </w:num>
  <w:num w:numId="10" w16cid:durableId="1521119846">
    <w:abstractNumId w:val="9"/>
  </w:num>
  <w:num w:numId="11" w16cid:durableId="638917818">
    <w:abstractNumId w:val="6"/>
  </w:num>
  <w:num w:numId="12" w16cid:durableId="1891570391">
    <w:abstractNumId w:val="25"/>
  </w:num>
  <w:num w:numId="13" w16cid:durableId="1218591479">
    <w:abstractNumId w:val="41"/>
  </w:num>
  <w:num w:numId="14" w16cid:durableId="770667469">
    <w:abstractNumId w:val="33"/>
  </w:num>
  <w:num w:numId="15" w16cid:durableId="1160736329">
    <w:abstractNumId w:val="29"/>
  </w:num>
  <w:num w:numId="16" w16cid:durableId="2105881222">
    <w:abstractNumId w:val="16"/>
  </w:num>
  <w:num w:numId="17" w16cid:durableId="78257634">
    <w:abstractNumId w:val="0"/>
  </w:num>
  <w:num w:numId="18" w16cid:durableId="214045967">
    <w:abstractNumId w:val="12"/>
  </w:num>
  <w:num w:numId="19" w16cid:durableId="2089186391">
    <w:abstractNumId w:val="2"/>
  </w:num>
  <w:num w:numId="20" w16cid:durableId="757139518">
    <w:abstractNumId w:val="5"/>
  </w:num>
  <w:num w:numId="21" w16cid:durableId="652564483">
    <w:abstractNumId w:val="39"/>
  </w:num>
  <w:num w:numId="22" w16cid:durableId="1506288239">
    <w:abstractNumId w:val="11"/>
  </w:num>
  <w:num w:numId="23" w16cid:durableId="146407474">
    <w:abstractNumId w:val="26"/>
  </w:num>
  <w:num w:numId="24" w16cid:durableId="1361778464">
    <w:abstractNumId w:val="23"/>
  </w:num>
  <w:num w:numId="25" w16cid:durableId="96678052">
    <w:abstractNumId w:val="27"/>
  </w:num>
  <w:num w:numId="26" w16cid:durableId="154227072">
    <w:abstractNumId w:val="22"/>
  </w:num>
  <w:num w:numId="27" w16cid:durableId="517742301">
    <w:abstractNumId w:val="30"/>
  </w:num>
  <w:num w:numId="28" w16cid:durableId="520319619">
    <w:abstractNumId w:val="18"/>
  </w:num>
  <w:num w:numId="29" w16cid:durableId="1494368575">
    <w:abstractNumId w:val="14"/>
  </w:num>
  <w:num w:numId="30" w16cid:durableId="649479861">
    <w:abstractNumId w:val="35"/>
  </w:num>
  <w:num w:numId="31" w16cid:durableId="1994605497">
    <w:abstractNumId w:val="28"/>
  </w:num>
  <w:num w:numId="32" w16cid:durableId="782773849">
    <w:abstractNumId w:val="21"/>
  </w:num>
  <w:num w:numId="33" w16cid:durableId="1349677721">
    <w:abstractNumId w:val="32"/>
  </w:num>
  <w:num w:numId="34" w16cid:durableId="927615660">
    <w:abstractNumId w:val="19"/>
  </w:num>
  <w:num w:numId="35" w16cid:durableId="1249344045">
    <w:abstractNumId w:val="36"/>
  </w:num>
  <w:num w:numId="36" w16cid:durableId="1278416060">
    <w:abstractNumId w:val="37"/>
  </w:num>
  <w:num w:numId="37" w16cid:durableId="1670450004">
    <w:abstractNumId w:val="20"/>
  </w:num>
  <w:num w:numId="38" w16cid:durableId="1662930968">
    <w:abstractNumId w:val="31"/>
  </w:num>
  <w:num w:numId="39" w16cid:durableId="1775518388">
    <w:abstractNumId w:val="40"/>
  </w:num>
  <w:num w:numId="40" w16cid:durableId="140077667">
    <w:abstractNumId w:val="13"/>
  </w:num>
  <w:num w:numId="41" w16cid:durableId="940067260">
    <w:abstractNumId w:val="8"/>
  </w:num>
  <w:num w:numId="42" w16cid:durableId="28460430">
    <w:abstractNumId w:val="38"/>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47E"/>
    <w:rsid w:val="00013702"/>
    <w:rsid w:val="00014644"/>
    <w:rsid w:val="0002784A"/>
    <w:rsid w:val="000326D2"/>
    <w:rsid w:val="000411E3"/>
    <w:rsid w:val="00052C6E"/>
    <w:rsid w:val="0006527F"/>
    <w:rsid w:val="000D6577"/>
    <w:rsid w:val="000E1BE8"/>
    <w:rsid w:val="000F1177"/>
    <w:rsid w:val="0013594E"/>
    <w:rsid w:val="00135CDD"/>
    <w:rsid w:val="00165962"/>
    <w:rsid w:val="001666DB"/>
    <w:rsid w:val="001B03F3"/>
    <w:rsid w:val="001B38AB"/>
    <w:rsid w:val="001C2E5A"/>
    <w:rsid w:val="001C77F9"/>
    <w:rsid w:val="001F5435"/>
    <w:rsid w:val="001F64D4"/>
    <w:rsid w:val="002439F2"/>
    <w:rsid w:val="0024722D"/>
    <w:rsid w:val="00247E23"/>
    <w:rsid w:val="002569B2"/>
    <w:rsid w:val="0026538A"/>
    <w:rsid w:val="00287044"/>
    <w:rsid w:val="002A54D6"/>
    <w:rsid w:val="002A7E75"/>
    <w:rsid w:val="002B2201"/>
    <w:rsid w:val="002D2A43"/>
    <w:rsid w:val="002F2663"/>
    <w:rsid w:val="003028E5"/>
    <w:rsid w:val="00305E8E"/>
    <w:rsid w:val="00327BDD"/>
    <w:rsid w:val="003437AD"/>
    <w:rsid w:val="00355840"/>
    <w:rsid w:val="00375473"/>
    <w:rsid w:val="003B46A5"/>
    <w:rsid w:val="003B4D1C"/>
    <w:rsid w:val="003C4213"/>
    <w:rsid w:val="003D4892"/>
    <w:rsid w:val="003D6FF4"/>
    <w:rsid w:val="003E0E50"/>
    <w:rsid w:val="003E639A"/>
    <w:rsid w:val="003E73E6"/>
    <w:rsid w:val="003F7676"/>
    <w:rsid w:val="004203D1"/>
    <w:rsid w:val="0042069B"/>
    <w:rsid w:val="00424CAF"/>
    <w:rsid w:val="0042534D"/>
    <w:rsid w:val="004447ED"/>
    <w:rsid w:val="00465DC5"/>
    <w:rsid w:val="00497994"/>
    <w:rsid w:val="00497B17"/>
    <w:rsid w:val="004A6242"/>
    <w:rsid w:val="004B49D6"/>
    <w:rsid w:val="004B6A96"/>
    <w:rsid w:val="004D247E"/>
    <w:rsid w:val="004E074F"/>
    <w:rsid w:val="0050112B"/>
    <w:rsid w:val="005221A8"/>
    <w:rsid w:val="00532F32"/>
    <w:rsid w:val="00541075"/>
    <w:rsid w:val="00580F46"/>
    <w:rsid w:val="0059110C"/>
    <w:rsid w:val="005962A0"/>
    <w:rsid w:val="00596F3B"/>
    <w:rsid w:val="005B4561"/>
    <w:rsid w:val="005D1047"/>
    <w:rsid w:val="005E0DC3"/>
    <w:rsid w:val="005F67A8"/>
    <w:rsid w:val="00600E05"/>
    <w:rsid w:val="00613FDE"/>
    <w:rsid w:val="0063239B"/>
    <w:rsid w:val="00632C58"/>
    <w:rsid w:val="00632EDC"/>
    <w:rsid w:val="0063472B"/>
    <w:rsid w:val="00634AC4"/>
    <w:rsid w:val="006460AB"/>
    <w:rsid w:val="00665A35"/>
    <w:rsid w:val="006C0415"/>
    <w:rsid w:val="006C6336"/>
    <w:rsid w:val="006D099F"/>
    <w:rsid w:val="006E0505"/>
    <w:rsid w:val="00700DA4"/>
    <w:rsid w:val="00713AC4"/>
    <w:rsid w:val="007236E8"/>
    <w:rsid w:val="007457C4"/>
    <w:rsid w:val="00764EBA"/>
    <w:rsid w:val="00777809"/>
    <w:rsid w:val="007A110E"/>
    <w:rsid w:val="007A1353"/>
    <w:rsid w:val="007D52B4"/>
    <w:rsid w:val="007E0E04"/>
    <w:rsid w:val="007E1FF6"/>
    <w:rsid w:val="007E5DF3"/>
    <w:rsid w:val="00800F72"/>
    <w:rsid w:val="00805CB0"/>
    <w:rsid w:val="00807899"/>
    <w:rsid w:val="00821279"/>
    <w:rsid w:val="008476EE"/>
    <w:rsid w:val="00867BAB"/>
    <w:rsid w:val="00867FF2"/>
    <w:rsid w:val="00873322"/>
    <w:rsid w:val="008C21B8"/>
    <w:rsid w:val="008D1926"/>
    <w:rsid w:val="008E6FD1"/>
    <w:rsid w:val="009024CC"/>
    <w:rsid w:val="00911112"/>
    <w:rsid w:val="009115B1"/>
    <w:rsid w:val="00911C39"/>
    <w:rsid w:val="00931ED3"/>
    <w:rsid w:val="009622F2"/>
    <w:rsid w:val="00977361"/>
    <w:rsid w:val="00991621"/>
    <w:rsid w:val="009A03DC"/>
    <w:rsid w:val="009B0B53"/>
    <w:rsid w:val="009B171D"/>
    <w:rsid w:val="009B4249"/>
    <w:rsid w:val="009B48A7"/>
    <w:rsid w:val="009F0A1D"/>
    <w:rsid w:val="009F317A"/>
    <w:rsid w:val="00A145DF"/>
    <w:rsid w:val="00A4325D"/>
    <w:rsid w:val="00A52414"/>
    <w:rsid w:val="00A662DC"/>
    <w:rsid w:val="00A73CF4"/>
    <w:rsid w:val="00A878BE"/>
    <w:rsid w:val="00A937B0"/>
    <w:rsid w:val="00A94D14"/>
    <w:rsid w:val="00A9715C"/>
    <w:rsid w:val="00AA6814"/>
    <w:rsid w:val="00AB3D3A"/>
    <w:rsid w:val="00AB47EF"/>
    <w:rsid w:val="00AB6315"/>
    <w:rsid w:val="00AB7DEF"/>
    <w:rsid w:val="00AC05BA"/>
    <w:rsid w:val="00AD5433"/>
    <w:rsid w:val="00AF2265"/>
    <w:rsid w:val="00AF5111"/>
    <w:rsid w:val="00AF7BE7"/>
    <w:rsid w:val="00B26EBC"/>
    <w:rsid w:val="00B507B1"/>
    <w:rsid w:val="00B50CC6"/>
    <w:rsid w:val="00B649B3"/>
    <w:rsid w:val="00B65E49"/>
    <w:rsid w:val="00B76104"/>
    <w:rsid w:val="00B870C7"/>
    <w:rsid w:val="00B9030D"/>
    <w:rsid w:val="00B906BB"/>
    <w:rsid w:val="00B9666C"/>
    <w:rsid w:val="00BA73A4"/>
    <w:rsid w:val="00BB2B03"/>
    <w:rsid w:val="00BD5E42"/>
    <w:rsid w:val="00BD66AA"/>
    <w:rsid w:val="00C03F1D"/>
    <w:rsid w:val="00C43A93"/>
    <w:rsid w:val="00C43ED4"/>
    <w:rsid w:val="00C52732"/>
    <w:rsid w:val="00C825EC"/>
    <w:rsid w:val="00C87F06"/>
    <w:rsid w:val="00C9320D"/>
    <w:rsid w:val="00CA07AA"/>
    <w:rsid w:val="00CA4633"/>
    <w:rsid w:val="00CA5741"/>
    <w:rsid w:val="00CC4DE7"/>
    <w:rsid w:val="00CD4FB1"/>
    <w:rsid w:val="00D00629"/>
    <w:rsid w:val="00D0725D"/>
    <w:rsid w:val="00D431EB"/>
    <w:rsid w:val="00D503E9"/>
    <w:rsid w:val="00D53BAD"/>
    <w:rsid w:val="00DA6E3D"/>
    <w:rsid w:val="00DB4CD7"/>
    <w:rsid w:val="00DD28A8"/>
    <w:rsid w:val="00DD2902"/>
    <w:rsid w:val="00DE760B"/>
    <w:rsid w:val="00DF6DF4"/>
    <w:rsid w:val="00E01A0D"/>
    <w:rsid w:val="00E07964"/>
    <w:rsid w:val="00E128D3"/>
    <w:rsid w:val="00E50B76"/>
    <w:rsid w:val="00E5775F"/>
    <w:rsid w:val="00E9016D"/>
    <w:rsid w:val="00EA0434"/>
    <w:rsid w:val="00EE3E8C"/>
    <w:rsid w:val="00F07238"/>
    <w:rsid w:val="00F26BAE"/>
    <w:rsid w:val="00F33C64"/>
    <w:rsid w:val="00F4784B"/>
    <w:rsid w:val="00F47F65"/>
    <w:rsid w:val="00F73967"/>
    <w:rsid w:val="00F83D28"/>
    <w:rsid w:val="00F93D2F"/>
    <w:rsid w:val="00FA0E3A"/>
    <w:rsid w:val="00FC5D7F"/>
    <w:rsid w:val="00FD547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38D90A"/>
  <w15:chartTrackingRefBased/>
  <w15:docId w15:val="{F9D432BA-42FE-4826-BE34-43B2DD614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70C7"/>
    <w:pPr>
      <w:jc w:val="both"/>
    </w:pPr>
  </w:style>
  <w:style w:type="paragraph" w:styleId="Titre1">
    <w:name w:val="heading 1"/>
    <w:basedOn w:val="Normal"/>
    <w:next w:val="Normal"/>
    <w:link w:val="Titre1Car"/>
    <w:uiPriority w:val="9"/>
    <w:qFormat/>
    <w:rsid w:val="004D24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unhideWhenUsed/>
    <w:qFormat/>
    <w:rsid w:val="004D24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unhideWhenUsed/>
    <w:qFormat/>
    <w:rsid w:val="004D247E"/>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unhideWhenUsed/>
    <w:qFormat/>
    <w:rsid w:val="004D247E"/>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unhideWhenUsed/>
    <w:qFormat/>
    <w:rsid w:val="004D247E"/>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4D247E"/>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4D247E"/>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4D247E"/>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4D247E"/>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D247E"/>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rsid w:val="004D247E"/>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rsid w:val="004D247E"/>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rsid w:val="004D247E"/>
    <w:rPr>
      <w:rFonts w:eastAsiaTheme="majorEastAsia" w:cstheme="majorBidi"/>
      <w:i/>
      <w:iCs/>
      <w:color w:val="0F4761" w:themeColor="accent1" w:themeShade="BF"/>
    </w:rPr>
  </w:style>
  <w:style w:type="character" w:customStyle="1" w:styleId="Titre5Car">
    <w:name w:val="Titre 5 Car"/>
    <w:basedOn w:val="Policepardfaut"/>
    <w:link w:val="Titre5"/>
    <w:uiPriority w:val="9"/>
    <w:rsid w:val="004D247E"/>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4D247E"/>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4D247E"/>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4D247E"/>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4D247E"/>
    <w:rPr>
      <w:rFonts w:eastAsiaTheme="majorEastAsia" w:cstheme="majorBidi"/>
      <w:color w:val="272727" w:themeColor="text1" w:themeTint="D8"/>
    </w:rPr>
  </w:style>
  <w:style w:type="paragraph" w:styleId="Titre">
    <w:name w:val="Title"/>
    <w:basedOn w:val="Normal"/>
    <w:next w:val="Normal"/>
    <w:link w:val="TitreCar"/>
    <w:uiPriority w:val="10"/>
    <w:qFormat/>
    <w:rsid w:val="004D24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4D247E"/>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4D247E"/>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4D247E"/>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4D247E"/>
    <w:pPr>
      <w:spacing w:before="160"/>
      <w:jc w:val="center"/>
    </w:pPr>
    <w:rPr>
      <w:i/>
      <w:iCs/>
      <w:color w:val="404040" w:themeColor="text1" w:themeTint="BF"/>
    </w:rPr>
  </w:style>
  <w:style w:type="character" w:customStyle="1" w:styleId="CitationCar">
    <w:name w:val="Citation Car"/>
    <w:basedOn w:val="Policepardfaut"/>
    <w:link w:val="Citation"/>
    <w:uiPriority w:val="29"/>
    <w:rsid w:val="004D247E"/>
    <w:rPr>
      <w:i/>
      <w:iCs/>
      <w:color w:val="404040" w:themeColor="text1" w:themeTint="BF"/>
    </w:rPr>
  </w:style>
  <w:style w:type="paragraph" w:styleId="Paragraphedeliste">
    <w:name w:val="List Paragraph"/>
    <w:basedOn w:val="Normal"/>
    <w:uiPriority w:val="34"/>
    <w:qFormat/>
    <w:rsid w:val="004D247E"/>
    <w:pPr>
      <w:ind w:left="720"/>
      <w:contextualSpacing/>
    </w:pPr>
  </w:style>
  <w:style w:type="character" w:styleId="Accentuationintense">
    <w:name w:val="Intense Emphasis"/>
    <w:basedOn w:val="Policepardfaut"/>
    <w:uiPriority w:val="21"/>
    <w:qFormat/>
    <w:rsid w:val="004D247E"/>
    <w:rPr>
      <w:i/>
      <w:iCs/>
      <w:color w:val="0F4761" w:themeColor="accent1" w:themeShade="BF"/>
    </w:rPr>
  </w:style>
  <w:style w:type="paragraph" w:styleId="Citationintense">
    <w:name w:val="Intense Quote"/>
    <w:basedOn w:val="Normal"/>
    <w:next w:val="Normal"/>
    <w:link w:val="CitationintenseCar"/>
    <w:uiPriority w:val="30"/>
    <w:qFormat/>
    <w:rsid w:val="004D24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4D247E"/>
    <w:rPr>
      <w:i/>
      <w:iCs/>
      <w:color w:val="0F4761" w:themeColor="accent1" w:themeShade="BF"/>
    </w:rPr>
  </w:style>
  <w:style w:type="character" w:styleId="Rfrenceintense">
    <w:name w:val="Intense Reference"/>
    <w:basedOn w:val="Policepardfaut"/>
    <w:uiPriority w:val="32"/>
    <w:qFormat/>
    <w:rsid w:val="004D247E"/>
    <w:rPr>
      <w:b/>
      <w:bCs/>
      <w:smallCaps/>
      <w:color w:val="0F4761" w:themeColor="accent1" w:themeShade="BF"/>
      <w:spacing w:val="5"/>
    </w:rPr>
  </w:style>
  <w:style w:type="character" w:styleId="Lienhypertexte">
    <w:name w:val="Hyperlink"/>
    <w:basedOn w:val="Policepardfaut"/>
    <w:uiPriority w:val="99"/>
    <w:unhideWhenUsed/>
    <w:rsid w:val="004D247E"/>
    <w:rPr>
      <w:color w:val="467886" w:themeColor="hyperlink"/>
      <w:u w:val="single"/>
    </w:rPr>
  </w:style>
  <w:style w:type="character" w:styleId="Mentionnonrsolue">
    <w:name w:val="Unresolved Mention"/>
    <w:basedOn w:val="Policepardfaut"/>
    <w:uiPriority w:val="99"/>
    <w:semiHidden/>
    <w:unhideWhenUsed/>
    <w:rsid w:val="004D247E"/>
    <w:rPr>
      <w:color w:val="605E5C"/>
      <w:shd w:val="clear" w:color="auto" w:fill="E1DFDD"/>
    </w:rPr>
  </w:style>
  <w:style w:type="paragraph" w:styleId="En-tte">
    <w:name w:val="header"/>
    <w:basedOn w:val="Normal"/>
    <w:link w:val="En-tteCar"/>
    <w:uiPriority w:val="99"/>
    <w:unhideWhenUsed/>
    <w:rsid w:val="00580F46"/>
    <w:pPr>
      <w:tabs>
        <w:tab w:val="center" w:pos="4536"/>
        <w:tab w:val="right" w:pos="9072"/>
      </w:tabs>
      <w:spacing w:after="0" w:line="240" w:lineRule="auto"/>
    </w:pPr>
  </w:style>
  <w:style w:type="character" w:customStyle="1" w:styleId="En-tteCar">
    <w:name w:val="En-tête Car"/>
    <w:basedOn w:val="Policepardfaut"/>
    <w:link w:val="En-tte"/>
    <w:uiPriority w:val="99"/>
    <w:rsid w:val="00580F46"/>
  </w:style>
  <w:style w:type="paragraph" w:styleId="Pieddepage">
    <w:name w:val="footer"/>
    <w:basedOn w:val="Normal"/>
    <w:link w:val="PieddepageCar"/>
    <w:uiPriority w:val="99"/>
    <w:unhideWhenUsed/>
    <w:rsid w:val="00580F4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80F46"/>
  </w:style>
  <w:style w:type="character" w:styleId="lev">
    <w:name w:val="Strong"/>
    <w:basedOn w:val="Policepardfaut"/>
    <w:uiPriority w:val="22"/>
    <w:qFormat/>
    <w:rsid w:val="00991621"/>
    <w:rPr>
      <w:b/>
      <w:bCs/>
    </w:rPr>
  </w:style>
  <w:style w:type="paragraph" w:styleId="NormalWeb">
    <w:name w:val="Normal (Web)"/>
    <w:basedOn w:val="Normal"/>
    <w:uiPriority w:val="99"/>
    <w:unhideWhenUsed/>
    <w:rsid w:val="00991621"/>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paragraph" w:styleId="Notedebasdepage">
    <w:name w:val="footnote text"/>
    <w:basedOn w:val="Normal"/>
    <w:link w:val="NotedebasdepageCar"/>
    <w:uiPriority w:val="99"/>
    <w:unhideWhenUsed/>
    <w:rsid w:val="00B870C7"/>
    <w:pPr>
      <w:spacing w:after="0" w:line="240" w:lineRule="auto"/>
    </w:pPr>
    <w:rPr>
      <w:rFonts w:ascii="Times New Roman" w:eastAsia="Times New Roman" w:hAnsi="Times New Roman" w:cs="Times New Roman"/>
      <w:kern w:val="0"/>
      <w:sz w:val="20"/>
      <w:szCs w:val="20"/>
      <w:lang w:eastAsia="fr-FR"/>
      <w14:ligatures w14:val="none"/>
    </w:rPr>
  </w:style>
  <w:style w:type="character" w:customStyle="1" w:styleId="NotedebasdepageCar">
    <w:name w:val="Note de bas de page Car"/>
    <w:basedOn w:val="Policepardfaut"/>
    <w:link w:val="Notedebasdepage"/>
    <w:uiPriority w:val="99"/>
    <w:rsid w:val="00B870C7"/>
    <w:rPr>
      <w:rFonts w:ascii="Times New Roman" w:eastAsia="Times New Roman" w:hAnsi="Times New Roman" w:cs="Times New Roman"/>
      <w:kern w:val="0"/>
      <w:sz w:val="20"/>
      <w:szCs w:val="20"/>
      <w:lang w:eastAsia="fr-FR"/>
      <w14:ligatures w14:val="none"/>
    </w:rPr>
  </w:style>
  <w:style w:type="character" w:styleId="Appelnotedebasdep">
    <w:name w:val="footnote reference"/>
    <w:basedOn w:val="Policepardfaut"/>
    <w:uiPriority w:val="99"/>
    <w:semiHidden/>
    <w:unhideWhenUsed/>
    <w:rsid w:val="00B870C7"/>
    <w:rPr>
      <w:vertAlign w:val="superscript"/>
    </w:rPr>
  </w:style>
  <w:style w:type="table" w:styleId="Grilledutableau">
    <w:name w:val="Table Grid"/>
    <w:basedOn w:val="TableauNormal"/>
    <w:uiPriority w:val="39"/>
    <w:rsid w:val="00B870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M1">
    <w:name w:val="toc 1"/>
    <w:basedOn w:val="Normal"/>
    <w:next w:val="Normal"/>
    <w:autoRedefine/>
    <w:uiPriority w:val="39"/>
    <w:unhideWhenUsed/>
    <w:rsid w:val="00B870C7"/>
    <w:pPr>
      <w:spacing w:before="120" w:after="120" w:line="276" w:lineRule="auto"/>
    </w:pPr>
    <w:rPr>
      <w:rFonts w:eastAsia="Times New Roman" w:cs="Times New Roman"/>
      <w:b/>
      <w:bCs/>
      <w:caps/>
      <w:kern w:val="0"/>
      <w:sz w:val="20"/>
      <w:szCs w:val="20"/>
      <w:lang w:eastAsia="fr-FR"/>
      <w14:ligatures w14:val="none"/>
    </w:rPr>
  </w:style>
  <w:style w:type="paragraph" w:styleId="TM2">
    <w:name w:val="toc 2"/>
    <w:basedOn w:val="Normal"/>
    <w:next w:val="Normal"/>
    <w:autoRedefine/>
    <w:uiPriority w:val="39"/>
    <w:unhideWhenUsed/>
    <w:rsid w:val="00B870C7"/>
    <w:pPr>
      <w:spacing w:after="0" w:line="276" w:lineRule="auto"/>
      <w:ind w:left="240"/>
    </w:pPr>
    <w:rPr>
      <w:rFonts w:eastAsia="Times New Roman" w:cs="Times New Roman"/>
      <w:smallCaps/>
      <w:kern w:val="0"/>
      <w:sz w:val="20"/>
      <w:szCs w:val="20"/>
      <w:lang w:eastAsia="fr-FR"/>
      <w14:ligatures w14:val="none"/>
    </w:rPr>
  </w:style>
  <w:style w:type="paragraph" w:styleId="TM3">
    <w:name w:val="toc 3"/>
    <w:basedOn w:val="Normal"/>
    <w:next w:val="Normal"/>
    <w:autoRedefine/>
    <w:uiPriority w:val="39"/>
    <w:unhideWhenUsed/>
    <w:rsid w:val="00B870C7"/>
    <w:pPr>
      <w:spacing w:after="0" w:line="276" w:lineRule="auto"/>
      <w:ind w:left="480"/>
    </w:pPr>
    <w:rPr>
      <w:rFonts w:eastAsia="Times New Roman" w:cs="Times New Roman"/>
      <w:i/>
      <w:iCs/>
      <w:kern w:val="0"/>
      <w:sz w:val="20"/>
      <w:szCs w:val="20"/>
      <w:lang w:eastAsia="fr-FR"/>
      <w14:ligatures w14:val="none"/>
    </w:rPr>
  </w:style>
  <w:style w:type="paragraph" w:styleId="TM4">
    <w:name w:val="toc 4"/>
    <w:basedOn w:val="Normal"/>
    <w:next w:val="Normal"/>
    <w:autoRedefine/>
    <w:uiPriority w:val="39"/>
    <w:unhideWhenUsed/>
    <w:rsid w:val="00B870C7"/>
    <w:pPr>
      <w:spacing w:after="0" w:line="276" w:lineRule="auto"/>
      <w:ind w:left="720"/>
    </w:pPr>
    <w:rPr>
      <w:rFonts w:eastAsia="Times New Roman" w:cs="Times New Roman"/>
      <w:kern w:val="0"/>
      <w:sz w:val="18"/>
      <w:szCs w:val="18"/>
      <w:lang w:eastAsia="fr-FR"/>
      <w14:ligatures w14:val="none"/>
    </w:rPr>
  </w:style>
  <w:style w:type="paragraph" w:styleId="TM5">
    <w:name w:val="toc 5"/>
    <w:basedOn w:val="Normal"/>
    <w:next w:val="Normal"/>
    <w:autoRedefine/>
    <w:uiPriority w:val="39"/>
    <w:unhideWhenUsed/>
    <w:rsid w:val="00B870C7"/>
    <w:pPr>
      <w:spacing w:after="0" w:line="276" w:lineRule="auto"/>
      <w:ind w:left="960"/>
    </w:pPr>
    <w:rPr>
      <w:rFonts w:eastAsia="Times New Roman" w:cs="Times New Roman"/>
      <w:kern w:val="0"/>
      <w:sz w:val="18"/>
      <w:szCs w:val="18"/>
      <w:lang w:eastAsia="fr-FR"/>
      <w14:ligatures w14:val="none"/>
    </w:rPr>
  </w:style>
  <w:style w:type="paragraph" w:styleId="TM6">
    <w:name w:val="toc 6"/>
    <w:basedOn w:val="Normal"/>
    <w:next w:val="Normal"/>
    <w:autoRedefine/>
    <w:uiPriority w:val="39"/>
    <w:unhideWhenUsed/>
    <w:rsid w:val="00B870C7"/>
    <w:pPr>
      <w:spacing w:after="0" w:line="276" w:lineRule="auto"/>
      <w:ind w:left="1200"/>
    </w:pPr>
    <w:rPr>
      <w:rFonts w:eastAsia="Times New Roman" w:cs="Times New Roman"/>
      <w:kern w:val="0"/>
      <w:sz w:val="18"/>
      <w:szCs w:val="18"/>
      <w:lang w:eastAsia="fr-FR"/>
      <w14:ligatures w14:val="none"/>
    </w:rPr>
  </w:style>
  <w:style w:type="paragraph" w:styleId="TM7">
    <w:name w:val="toc 7"/>
    <w:basedOn w:val="Normal"/>
    <w:next w:val="Normal"/>
    <w:autoRedefine/>
    <w:uiPriority w:val="39"/>
    <w:unhideWhenUsed/>
    <w:rsid w:val="00B870C7"/>
    <w:pPr>
      <w:spacing w:after="0" w:line="276" w:lineRule="auto"/>
      <w:ind w:left="1440"/>
    </w:pPr>
    <w:rPr>
      <w:rFonts w:eastAsia="Times New Roman" w:cs="Times New Roman"/>
      <w:kern w:val="0"/>
      <w:sz w:val="18"/>
      <w:szCs w:val="18"/>
      <w:lang w:eastAsia="fr-FR"/>
      <w14:ligatures w14:val="none"/>
    </w:rPr>
  </w:style>
  <w:style w:type="paragraph" w:styleId="TM8">
    <w:name w:val="toc 8"/>
    <w:basedOn w:val="Normal"/>
    <w:next w:val="Normal"/>
    <w:autoRedefine/>
    <w:uiPriority w:val="39"/>
    <w:unhideWhenUsed/>
    <w:rsid w:val="00B870C7"/>
    <w:pPr>
      <w:spacing w:after="0" w:line="276" w:lineRule="auto"/>
      <w:ind w:left="1680"/>
    </w:pPr>
    <w:rPr>
      <w:rFonts w:eastAsia="Times New Roman" w:cs="Times New Roman"/>
      <w:kern w:val="0"/>
      <w:sz w:val="18"/>
      <w:szCs w:val="18"/>
      <w:lang w:eastAsia="fr-FR"/>
      <w14:ligatures w14:val="none"/>
    </w:rPr>
  </w:style>
  <w:style w:type="paragraph" w:styleId="TM9">
    <w:name w:val="toc 9"/>
    <w:basedOn w:val="Normal"/>
    <w:next w:val="Normal"/>
    <w:autoRedefine/>
    <w:uiPriority w:val="39"/>
    <w:unhideWhenUsed/>
    <w:rsid w:val="00B870C7"/>
    <w:pPr>
      <w:spacing w:after="0" w:line="276" w:lineRule="auto"/>
      <w:ind w:left="1920"/>
    </w:pPr>
    <w:rPr>
      <w:rFonts w:eastAsia="Times New Roman" w:cs="Times New Roman"/>
      <w:kern w:val="0"/>
      <w:sz w:val="18"/>
      <w:szCs w:val="18"/>
      <w:lang w:eastAsia="fr-FR"/>
      <w14:ligatures w14:val="none"/>
    </w:rPr>
  </w:style>
  <w:style w:type="character" w:styleId="Lienhypertextesuivivisit">
    <w:name w:val="FollowedHyperlink"/>
    <w:basedOn w:val="Policepardfaut"/>
    <w:uiPriority w:val="99"/>
    <w:semiHidden/>
    <w:unhideWhenUsed/>
    <w:rsid w:val="00B870C7"/>
    <w:rPr>
      <w:color w:val="96607D" w:themeColor="followedHyperlink"/>
      <w:u w:val="single"/>
    </w:rPr>
  </w:style>
  <w:style w:type="paragraph" w:styleId="Sansinterligne">
    <w:name w:val="No Spacing"/>
    <w:uiPriority w:val="1"/>
    <w:qFormat/>
    <w:rsid w:val="00B870C7"/>
    <w:pPr>
      <w:spacing w:after="0" w:line="240" w:lineRule="auto"/>
    </w:pPr>
    <w:rPr>
      <w:rFonts w:ascii="Times New Roman" w:hAnsi="Times New Roman" w:cs="Times New Roman"/>
      <w:sz w:val="20"/>
      <w:szCs w:val="20"/>
      <w:lang w:eastAsia="fr-FR"/>
    </w:rPr>
  </w:style>
  <w:style w:type="character" w:styleId="Accentuation">
    <w:name w:val="Emphasis"/>
    <w:basedOn w:val="Policepardfaut"/>
    <w:uiPriority w:val="20"/>
    <w:qFormat/>
    <w:rsid w:val="00B870C7"/>
    <w:rPr>
      <w:i/>
      <w:iCs/>
    </w:rPr>
  </w:style>
  <w:style w:type="paragraph" w:customStyle="1" w:styleId="msonormal0">
    <w:name w:val="msonormal"/>
    <w:basedOn w:val="Normal"/>
    <w:rsid w:val="002D2A43"/>
    <w:pPr>
      <w:spacing w:before="100" w:beforeAutospacing="1" w:after="100" w:afterAutospacing="1" w:line="240" w:lineRule="auto"/>
      <w:jc w:val="left"/>
    </w:pPr>
    <w:rPr>
      <w:rFonts w:ascii="Times New Roman" w:eastAsia="Times New Roman" w:hAnsi="Times New Roman" w:cs="Times New Roman"/>
      <w:kern w:val="0"/>
      <w:sz w:val="24"/>
      <w:szCs w:val="24"/>
      <w:lang w:eastAsia="fr-FR"/>
      <w14:ligatures w14:val="none"/>
    </w:rPr>
  </w:style>
  <w:style w:type="table" w:styleId="TableauGrille4-Accentuation2">
    <w:name w:val="Grid Table 4 Accent 2"/>
    <w:basedOn w:val="TableauNormal"/>
    <w:uiPriority w:val="49"/>
    <w:rsid w:val="00C52732"/>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insideV w:val="nil"/>
        </w:tcBorders>
        <w:shd w:val="clear" w:color="auto" w:fill="E97132" w:themeFill="accent2"/>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6067">
      <w:bodyDiv w:val="1"/>
      <w:marLeft w:val="0"/>
      <w:marRight w:val="0"/>
      <w:marTop w:val="0"/>
      <w:marBottom w:val="0"/>
      <w:divBdr>
        <w:top w:val="none" w:sz="0" w:space="0" w:color="auto"/>
        <w:left w:val="none" w:sz="0" w:space="0" w:color="auto"/>
        <w:bottom w:val="none" w:sz="0" w:space="0" w:color="auto"/>
        <w:right w:val="none" w:sz="0" w:space="0" w:color="auto"/>
      </w:divBdr>
      <w:divsChild>
        <w:div w:id="761993316">
          <w:marLeft w:val="0"/>
          <w:marRight w:val="0"/>
          <w:marTop w:val="0"/>
          <w:marBottom w:val="0"/>
          <w:divBdr>
            <w:top w:val="none" w:sz="0" w:space="0" w:color="auto"/>
            <w:left w:val="none" w:sz="0" w:space="0" w:color="auto"/>
            <w:bottom w:val="none" w:sz="0" w:space="0" w:color="auto"/>
            <w:right w:val="none" w:sz="0" w:space="0" w:color="auto"/>
          </w:divBdr>
          <w:divsChild>
            <w:div w:id="1130319218">
              <w:marLeft w:val="0"/>
              <w:marRight w:val="0"/>
              <w:marTop w:val="0"/>
              <w:marBottom w:val="0"/>
              <w:divBdr>
                <w:top w:val="none" w:sz="0" w:space="0" w:color="auto"/>
                <w:left w:val="none" w:sz="0" w:space="0" w:color="auto"/>
                <w:bottom w:val="none" w:sz="0" w:space="0" w:color="auto"/>
                <w:right w:val="none" w:sz="0" w:space="0" w:color="auto"/>
              </w:divBdr>
              <w:divsChild>
                <w:div w:id="1666863185">
                  <w:marLeft w:val="0"/>
                  <w:marRight w:val="0"/>
                  <w:marTop w:val="0"/>
                  <w:marBottom w:val="0"/>
                  <w:divBdr>
                    <w:top w:val="none" w:sz="0" w:space="0" w:color="auto"/>
                    <w:left w:val="none" w:sz="0" w:space="0" w:color="auto"/>
                    <w:bottom w:val="none" w:sz="0" w:space="0" w:color="auto"/>
                    <w:right w:val="none" w:sz="0" w:space="0" w:color="auto"/>
                  </w:divBdr>
                  <w:divsChild>
                    <w:div w:id="257300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219581">
          <w:marLeft w:val="0"/>
          <w:marRight w:val="0"/>
          <w:marTop w:val="0"/>
          <w:marBottom w:val="0"/>
          <w:divBdr>
            <w:top w:val="none" w:sz="0" w:space="0" w:color="auto"/>
            <w:left w:val="none" w:sz="0" w:space="0" w:color="auto"/>
            <w:bottom w:val="none" w:sz="0" w:space="0" w:color="auto"/>
            <w:right w:val="none" w:sz="0" w:space="0" w:color="auto"/>
          </w:divBdr>
          <w:divsChild>
            <w:div w:id="159152977">
              <w:marLeft w:val="0"/>
              <w:marRight w:val="0"/>
              <w:marTop w:val="0"/>
              <w:marBottom w:val="0"/>
              <w:divBdr>
                <w:top w:val="none" w:sz="0" w:space="0" w:color="auto"/>
                <w:left w:val="none" w:sz="0" w:space="0" w:color="auto"/>
                <w:bottom w:val="none" w:sz="0" w:space="0" w:color="auto"/>
                <w:right w:val="none" w:sz="0" w:space="0" w:color="auto"/>
              </w:divBdr>
              <w:divsChild>
                <w:div w:id="1737626445">
                  <w:marLeft w:val="0"/>
                  <w:marRight w:val="0"/>
                  <w:marTop w:val="0"/>
                  <w:marBottom w:val="0"/>
                  <w:divBdr>
                    <w:top w:val="none" w:sz="0" w:space="0" w:color="auto"/>
                    <w:left w:val="none" w:sz="0" w:space="0" w:color="auto"/>
                    <w:bottom w:val="none" w:sz="0" w:space="0" w:color="auto"/>
                    <w:right w:val="none" w:sz="0" w:space="0" w:color="auto"/>
                  </w:divBdr>
                  <w:divsChild>
                    <w:div w:id="877863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06480">
      <w:bodyDiv w:val="1"/>
      <w:marLeft w:val="0"/>
      <w:marRight w:val="0"/>
      <w:marTop w:val="0"/>
      <w:marBottom w:val="0"/>
      <w:divBdr>
        <w:top w:val="none" w:sz="0" w:space="0" w:color="auto"/>
        <w:left w:val="none" w:sz="0" w:space="0" w:color="auto"/>
        <w:bottom w:val="none" w:sz="0" w:space="0" w:color="auto"/>
        <w:right w:val="none" w:sz="0" w:space="0" w:color="auto"/>
      </w:divBdr>
    </w:div>
    <w:div w:id="71662984">
      <w:bodyDiv w:val="1"/>
      <w:marLeft w:val="0"/>
      <w:marRight w:val="0"/>
      <w:marTop w:val="0"/>
      <w:marBottom w:val="0"/>
      <w:divBdr>
        <w:top w:val="none" w:sz="0" w:space="0" w:color="auto"/>
        <w:left w:val="none" w:sz="0" w:space="0" w:color="auto"/>
        <w:bottom w:val="none" w:sz="0" w:space="0" w:color="auto"/>
        <w:right w:val="none" w:sz="0" w:space="0" w:color="auto"/>
      </w:divBdr>
    </w:div>
    <w:div w:id="88892937">
      <w:bodyDiv w:val="1"/>
      <w:marLeft w:val="0"/>
      <w:marRight w:val="0"/>
      <w:marTop w:val="0"/>
      <w:marBottom w:val="0"/>
      <w:divBdr>
        <w:top w:val="none" w:sz="0" w:space="0" w:color="auto"/>
        <w:left w:val="none" w:sz="0" w:space="0" w:color="auto"/>
        <w:bottom w:val="none" w:sz="0" w:space="0" w:color="auto"/>
        <w:right w:val="none" w:sz="0" w:space="0" w:color="auto"/>
      </w:divBdr>
    </w:div>
    <w:div w:id="136991113">
      <w:bodyDiv w:val="1"/>
      <w:marLeft w:val="0"/>
      <w:marRight w:val="0"/>
      <w:marTop w:val="0"/>
      <w:marBottom w:val="0"/>
      <w:divBdr>
        <w:top w:val="none" w:sz="0" w:space="0" w:color="auto"/>
        <w:left w:val="none" w:sz="0" w:space="0" w:color="auto"/>
        <w:bottom w:val="none" w:sz="0" w:space="0" w:color="auto"/>
        <w:right w:val="none" w:sz="0" w:space="0" w:color="auto"/>
      </w:divBdr>
    </w:div>
    <w:div w:id="240071149">
      <w:bodyDiv w:val="1"/>
      <w:marLeft w:val="0"/>
      <w:marRight w:val="0"/>
      <w:marTop w:val="0"/>
      <w:marBottom w:val="0"/>
      <w:divBdr>
        <w:top w:val="none" w:sz="0" w:space="0" w:color="auto"/>
        <w:left w:val="none" w:sz="0" w:space="0" w:color="auto"/>
        <w:bottom w:val="none" w:sz="0" w:space="0" w:color="auto"/>
        <w:right w:val="none" w:sz="0" w:space="0" w:color="auto"/>
      </w:divBdr>
    </w:div>
    <w:div w:id="252054650">
      <w:bodyDiv w:val="1"/>
      <w:marLeft w:val="0"/>
      <w:marRight w:val="0"/>
      <w:marTop w:val="0"/>
      <w:marBottom w:val="0"/>
      <w:divBdr>
        <w:top w:val="none" w:sz="0" w:space="0" w:color="auto"/>
        <w:left w:val="none" w:sz="0" w:space="0" w:color="auto"/>
        <w:bottom w:val="none" w:sz="0" w:space="0" w:color="auto"/>
        <w:right w:val="none" w:sz="0" w:space="0" w:color="auto"/>
      </w:divBdr>
    </w:div>
    <w:div w:id="279385107">
      <w:bodyDiv w:val="1"/>
      <w:marLeft w:val="0"/>
      <w:marRight w:val="0"/>
      <w:marTop w:val="0"/>
      <w:marBottom w:val="0"/>
      <w:divBdr>
        <w:top w:val="none" w:sz="0" w:space="0" w:color="auto"/>
        <w:left w:val="none" w:sz="0" w:space="0" w:color="auto"/>
        <w:bottom w:val="none" w:sz="0" w:space="0" w:color="auto"/>
        <w:right w:val="none" w:sz="0" w:space="0" w:color="auto"/>
      </w:divBdr>
    </w:div>
    <w:div w:id="283080568">
      <w:bodyDiv w:val="1"/>
      <w:marLeft w:val="0"/>
      <w:marRight w:val="0"/>
      <w:marTop w:val="0"/>
      <w:marBottom w:val="0"/>
      <w:divBdr>
        <w:top w:val="none" w:sz="0" w:space="0" w:color="auto"/>
        <w:left w:val="none" w:sz="0" w:space="0" w:color="auto"/>
        <w:bottom w:val="none" w:sz="0" w:space="0" w:color="auto"/>
        <w:right w:val="none" w:sz="0" w:space="0" w:color="auto"/>
      </w:divBdr>
    </w:div>
    <w:div w:id="317619047">
      <w:bodyDiv w:val="1"/>
      <w:marLeft w:val="0"/>
      <w:marRight w:val="0"/>
      <w:marTop w:val="0"/>
      <w:marBottom w:val="0"/>
      <w:divBdr>
        <w:top w:val="none" w:sz="0" w:space="0" w:color="auto"/>
        <w:left w:val="none" w:sz="0" w:space="0" w:color="auto"/>
        <w:bottom w:val="none" w:sz="0" w:space="0" w:color="auto"/>
        <w:right w:val="none" w:sz="0" w:space="0" w:color="auto"/>
      </w:divBdr>
    </w:div>
    <w:div w:id="336887575">
      <w:bodyDiv w:val="1"/>
      <w:marLeft w:val="0"/>
      <w:marRight w:val="0"/>
      <w:marTop w:val="0"/>
      <w:marBottom w:val="0"/>
      <w:divBdr>
        <w:top w:val="none" w:sz="0" w:space="0" w:color="auto"/>
        <w:left w:val="none" w:sz="0" w:space="0" w:color="auto"/>
        <w:bottom w:val="none" w:sz="0" w:space="0" w:color="auto"/>
        <w:right w:val="none" w:sz="0" w:space="0" w:color="auto"/>
      </w:divBdr>
    </w:div>
    <w:div w:id="386532742">
      <w:bodyDiv w:val="1"/>
      <w:marLeft w:val="0"/>
      <w:marRight w:val="0"/>
      <w:marTop w:val="0"/>
      <w:marBottom w:val="0"/>
      <w:divBdr>
        <w:top w:val="none" w:sz="0" w:space="0" w:color="auto"/>
        <w:left w:val="none" w:sz="0" w:space="0" w:color="auto"/>
        <w:bottom w:val="none" w:sz="0" w:space="0" w:color="auto"/>
        <w:right w:val="none" w:sz="0" w:space="0" w:color="auto"/>
      </w:divBdr>
    </w:div>
    <w:div w:id="395402620">
      <w:bodyDiv w:val="1"/>
      <w:marLeft w:val="0"/>
      <w:marRight w:val="0"/>
      <w:marTop w:val="0"/>
      <w:marBottom w:val="0"/>
      <w:divBdr>
        <w:top w:val="none" w:sz="0" w:space="0" w:color="auto"/>
        <w:left w:val="none" w:sz="0" w:space="0" w:color="auto"/>
        <w:bottom w:val="none" w:sz="0" w:space="0" w:color="auto"/>
        <w:right w:val="none" w:sz="0" w:space="0" w:color="auto"/>
      </w:divBdr>
    </w:div>
    <w:div w:id="425348531">
      <w:bodyDiv w:val="1"/>
      <w:marLeft w:val="0"/>
      <w:marRight w:val="0"/>
      <w:marTop w:val="0"/>
      <w:marBottom w:val="0"/>
      <w:divBdr>
        <w:top w:val="none" w:sz="0" w:space="0" w:color="auto"/>
        <w:left w:val="none" w:sz="0" w:space="0" w:color="auto"/>
        <w:bottom w:val="none" w:sz="0" w:space="0" w:color="auto"/>
        <w:right w:val="none" w:sz="0" w:space="0" w:color="auto"/>
      </w:divBdr>
    </w:div>
    <w:div w:id="564141570">
      <w:bodyDiv w:val="1"/>
      <w:marLeft w:val="0"/>
      <w:marRight w:val="0"/>
      <w:marTop w:val="0"/>
      <w:marBottom w:val="0"/>
      <w:divBdr>
        <w:top w:val="none" w:sz="0" w:space="0" w:color="auto"/>
        <w:left w:val="none" w:sz="0" w:space="0" w:color="auto"/>
        <w:bottom w:val="none" w:sz="0" w:space="0" w:color="auto"/>
        <w:right w:val="none" w:sz="0" w:space="0" w:color="auto"/>
      </w:divBdr>
    </w:div>
    <w:div w:id="565383614">
      <w:bodyDiv w:val="1"/>
      <w:marLeft w:val="0"/>
      <w:marRight w:val="0"/>
      <w:marTop w:val="0"/>
      <w:marBottom w:val="0"/>
      <w:divBdr>
        <w:top w:val="none" w:sz="0" w:space="0" w:color="auto"/>
        <w:left w:val="none" w:sz="0" w:space="0" w:color="auto"/>
        <w:bottom w:val="none" w:sz="0" w:space="0" w:color="auto"/>
        <w:right w:val="none" w:sz="0" w:space="0" w:color="auto"/>
      </w:divBdr>
    </w:div>
    <w:div w:id="603726370">
      <w:bodyDiv w:val="1"/>
      <w:marLeft w:val="0"/>
      <w:marRight w:val="0"/>
      <w:marTop w:val="0"/>
      <w:marBottom w:val="0"/>
      <w:divBdr>
        <w:top w:val="none" w:sz="0" w:space="0" w:color="auto"/>
        <w:left w:val="none" w:sz="0" w:space="0" w:color="auto"/>
        <w:bottom w:val="none" w:sz="0" w:space="0" w:color="auto"/>
        <w:right w:val="none" w:sz="0" w:space="0" w:color="auto"/>
      </w:divBdr>
    </w:div>
    <w:div w:id="630134162">
      <w:bodyDiv w:val="1"/>
      <w:marLeft w:val="0"/>
      <w:marRight w:val="0"/>
      <w:marTop w:val="0"/>
      <w:marBottom w:val="0"/>
      <w:divBdr>
        <w:top w:val="none" w:sz="0" w:space="0" w:color="auto"/>
        <w:left w:val="none" w:sz="0" w:space="0" w:color="auto"/>
        <w:bottom w:val="none" w:sz="0" w:space="0" w:color="auto"/>
        <w:right w:val="none" w:sz="0" w:space="0" w:color="auto"/>
      </w:divBdr>
    </w:div>
    <w:div w:id="632751664">
      <w:bodyDiv w:val="1"/>
      <w:marLeft w:val="0"/>
      <w:marRight w:val="0"/>
      <w:marTop w:val="0"/>
      <w:marBottom w:val="0"/>
      <w:divBdr>
        <w:top w:val="none" w:sz="0" w:space="0" w:color="auto"/>
        <w:left w:val="none" w:sz="0" w:space="0" w:color="auto"/>
        <w:bottom w:val="none" w:sz="0" w:space="0" w:color="auto"/>
        <w:right w:val="none" w:sz="0" w:space="0" w:color="auto"/>
      </w:divBdr>
    </w:div>
    <w:div w:id="640384897">
      <w:bodyDiv w:val="1"/>
      <w:marLeft w:val="0"/>
      <w:marRight w:val="0"/>
      <w:marTop w:val="0"/>
      <w:marBottom w:val="0"/>
      <w:divBdr>
        <w:top w:val="none" w:sz="0" w:space="0" w:color="auto"/>
        <w:left w:val="none" w:sz="0" w:space="0" w:color="auto"/>
        <w:bottom w:val="none" w:sz="0" w:space="0" w:color="auto"/>
        <w:right w:val="none" w:sz="0" w:space="0" w:color="auto"/>
      </w:divBdr>
    </w:div>
    <w:div w:id="775103974">
      <w:bodyDiv w:val="1"/>
      <w:marLeft w:val="0"/>
      <w:marRight w:val="0"/>
      <w:marTop w:val="0"/>
      <w:marBottom w:val="0"/>
      <w:divBdr>
        <w:top w:val="none" w:sz="0" w:space="0" w:color="auto"/>
        <w:left w:val="none" w:sz="0" w:space="0" w:color="auto"/>
        <w:bottom w:val="none" w:sz="0" w:space="0" w:color="auto"/>
        <w:right w:val="none" w:sz="0" w:space="0" w:color="auto"/>
      </w:divBdr>
    </w:div>
    <w:div w:id="796489332">
      <w:bodyDiv w:val="1"/>
      <w:marLeft w:val="0"/>
      <w:marRight w:val="0"/>
      <w:marTop w:val="0"/>
      <w:marBottom w:val="0"/>
      <w:divBdr>
        <w:top w:val="none" w:sz="0" w:space="0" w:color="auto"/>
        <w:left w:val="none" w:sz="0" w:space="0" w:color="auto"/>
        <w:bottom w:val="none" w:sz="0" w:space="0" w:color="auto"/>
        <w:right w:val="none" w:sz="0" w:space="0" w:color="auto"/>
      </w:divBdr>
    </w:div>
    <w:div w:id="810944066">
      <w:bodyDiv w:val="1"/>
      <w:marLeft w:val="0"/>
      <w:marRight w:val="0"/>
      <w:marTop w:val="0"/>
      <w:marBottom w:val="0"/>
      <w:divBdr>
        <w:top w:val="none" w:sz="0" w:space="0" w:color="auto"/>
        <w:left w:val="none" w:sz="0" w:space="0" w:color="auto"/>
        <w:bottom w:val="none" w:sz="0" w:space="0" w:color="auto"/>
        <w:right w:val="none" w:sz="0" w:space="0" w:color="auto"/>
      </w:divBdr>
    </w:div>
    <w:div w:id="815953279">
      <w:bodyDiv w:val="1"/>
      <w:marLeft w:val="0"/>
      <w:marRight w:val="0"/>
      <w:marTop w:val="0"/>
      <w:marBottom w:val="0"/>
      <w:divBdr>
        <w:top w:val="none" w:sz="0" w:space="0" w:color="auto"/>
        <w:left w:val="none" w:sz="0" w:space="0" w:color="auto"/>
        <w:bottom w:val="none" w:sz="0" w:space="0" w:color="auto"/>
        <w:right w:val="none" w:sz="0" w:space="0" w:color="auto"/>
      </w:divBdr>
      <w:divsChild>
        <w:div w:id="816412608">
          <w:marLeft w:val="0"/>
          <w:marRight w:val="0"/>
          <w:marTop w:val="0"/>
          <w:marBottom w:val="0"/>
          <w:divBdr>
            <w:top w:val="none" w:sz="0" w:space="0" w:color="auto"/>
            <w:left w:val="none" w:sz="0" w:space="0" w:color="auto"/>
            <w:bottom w:val="none" w:sz="0" w:space="0" w:color="auto"/>
            <w:right w:val="none" w:sz="0" w:space="0" w:color="auto"/>
          </w:divBdr>
          <w:divsChild>
            <w:div w:id="1283069611">
              <w:marLeft w:val="0"/>
              <w:marRight w:val="0"/>
              <w:marTop w:val="0"/>
              <w:marBottom w:val="0"/>
              <w:divBdr>
                <w:top w:val="none" w:sz="0" w:space="0" w:color="auto"/>
                <w:left w:val="none" w:sz="0" w:space="0" w:color="auto"/>
                <w:bottom w:val="none" w:sz="0" w:space="0" w:color="auto"/>
                <w:right w:val="none" w:sz="0" w:space="0" w:color="auto"/>
              </w:divBdr>
              <w:divsChild>
                <w:div w:id="233048257">
                  <w:marLeft w:val="0"/>
                  <w:marRight w:val="0"/>
                  <w:marTop w:val="0"/>
                  <w:marBottom w:val="0"/>
                  <w:divBdr>
                    <w:top w:val="none" w:sz="0" w:space="0" w:color="auto"/>
                    <w:left w:val="none" w:sz="0" w:space="0" w:color="auto"/>
                    <w:bottom w:val="none" w:sz="0" w:space="0" w:color="auto"/>
                    <w:right w:val="none" w:sz="0" w:space="0" w:color="auto"/>
                  </w:divBdr>
                  <w:divsChild>
                    <w:div w:id="1700012658">
                      <w:marLeft w:val="0"/>
                      <w:marRight w:val="0"/>
                      <w:marTop w:val="0"/>
                      <w:marBottom w:val="0"/>
                      <w:divBdr>
                        <w:top w:val="none" w:sz="0" w:space="0" w:color="auto"/>
                        <w:left w:val="none" w:sz="0" w:space="0" w:color="auto"/>
                        <w:bottom w:val="none" w:sz="0" w:space="0" w:color="auto"/>
                        <w:right w:val="none" w:sz="0" w:space="0" w:color="auto"/>
                      </w:divBdr>
                      <w:divsChild>
                        <w:div w:id="356544170">
                          <w:marLeft w:val="0"/>
                          <w:marRight w:val="0"/>
                          <w:marTop w:val="0"/>
                          <w:marBottom w:val="0"/>
                          <w:divBdr>
                            <w:top w:val="none" w:sz="0" w:space="0" w:color="auto"/>
                            <w:left w:val="none" w:sz="0" w:space="0" w:color="auto"/>
                            <w:bottom w:val="none" w:sz="0" w:space="0" w:color="auto"/>
                            <w:right w:val="none" w:sz="0" w:space="0" w:color="auto"/>
                          </w:divBdr>
                        </w:div>
                        <w:div w:id="660694560">
                          <w:marLeft w:val="0"/>
                          <w:marRight w:val="0"/>
                          <w:marTop w:val="0"/>
                          <w:marBottom w:val="0"/>
                          <w:divBdr>
                            <w:top w:val="none" w:sz="0" w:space="0" w:color="auto"/>
                            <w:left w:val="none" w:sz="0" w:space="0" w:color="auto"/>
                            <w:bottom w:val="none" w:sz="0" w:space="0" w:color="auto"/>
                            <w:right w:val="none" w:sz="0" w:space="0" w:color="auto"/>
                          </w:divBdr>
                        </w:div>
                        <w:div w:id="735712847">
                          <w:marLeft w:val="0"/>
                          <w:marRight w:val="0"/>
                          <w:marTop w:val="0"/>
                          <w:marBottom w:val="0"/>
                          <w:divBdr>
                            <w:top w:val="none" w:sz="0" w:space="0" w:color="auto"/>
                            <w:left w:val="none" w:sz="0" w:space="0" w:color="auto"/>
                            <w:bottom w:val="none" w:sz="0" w:space="0" w:color="auto"/>
                            <w:right w:val="none" w:sz="0" w:space="0" w:color="auto"/>
                          </w:divBdr>
                        </w:div>
                        <w:div w:id="1498494412">
                          <w:marLeft w:val="0"/>
                          <w:marRight w:val="0"/>
                          <w:marTop w:val="0"/>
                          <w:marBottom w:val="0"/>
                          <w:divBdr>
                            <w:top w:val="none" w:sz="0" w:space="0" w:color="auto"/>
                            <w:left w:val="none" w:sz="0" w:space="0" w:color="auto"/>
                            <w:bottom w:val="none" w:sz="0" w:space="0" w:color="auto"/>
                            <w:right w:val="none" w:sz="0" w:space="0" w:color="auto"/>
                          </w:divBdr>
                          <w:divsChild>
                            <w:div w:id="492183151">
                              <w:marLeft w:val="0"/>
                              <w:marRight w:val="0"/>
                              <w:marTop w:val="0"/>
                              <w:marBottom w:val="0"/>
                              <w:divBdr>
                                <w:top w:val="none" w:sz="0" w:space="0" w:color="auto"/>
                                <w:left w:val="none" w:sz="0" w:space="0" w:color="auto"/>
                                <w:bottom w:val="none" w:sz="0" w:space="0" w:color="auto"/>
                                <w:right w:val="none" w:sz="0" w:space="0" w:color="auto"/>
                              </w:divBdr>
                            </w:div>
                            <w:div w:id="566378212">
                              <w:marLeft w:val="0"/>
                              <w:marRight w:val="0"/>
                              <w:marTop w:val="0"/>
                              <w:marBottom w:val="0"/>
                              <w:divBdr>
                                <w:top w:val="none" w:sz="0" w:space="0" w:color="auto"/>
                                <w:left w:val="none" w:sz="0" w:space="0" w:color="auto"/>
                                <w:bottom w:val="none" w:sz="0" w:space="0" w:color="auto"/>
                                <w:right w:val="none" w:sz="0" w:space="0" w:color="auto"/>
                              </w:divBdr>
                              <w:divsChild>
                                <w:div w:id="657154977">
                                  <w:marLeft w:val="0"/>
                                  <w:marRight w:val="0"/>
                                  <w:marTop w:val="0"/>
                                  <w:marBottom w:val="0"/>
                                  <w:divBdr>
                                    <w:top w:val="none" w:sz="0" w:space="0" w:color="auto"/>
                                    <w:left w:val="none" w:sz="0" w:space="0" w:color="auto"/>
                                    <w:bottom w:val="none" w:sz="0" w:space="0" w:color="auto"/>
                                    <w:right w:val="none" w:sz="0" w:space="0" w:color="auto"/>
                                  </w:divBdr>
                                </w:div>
                                <w:div w:id="731269544">
                                  <w:marLeft w:val="0"/>
                                  <w:marRight w:val="0"/>
                                  <w:marTop w:val="0"/>
                                  <w:marBottom w:val="0"/>
                                  <w:divBdr>
                                    <w:top w:val="none" w:sz="0" w:space="0" w:color="auto"/>
                                    <w:left w:val="none" w:sz="0" w:space="0" w:color="auto"/>
                                    <w:bottom w:val="none" w:sz="0" w:space="0" w:color="auto"/>
                                    <w:right w:val="none" w:sz="0" w:space="0" w:color="auto"/>
                                  </w:divBdr>
                                </w:div>
                                <w:div w:id="1170678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8615771">
      <w:bodyDiv w:val="1"/>
      <w:marLeft w:val="0"/>
      <w:marRight w:val="0"/>
      <w:marTop w:val="0"/>
      <w:marBottom w:val="0"/>
      <w:divBdr>
        <w:top w:val="none" w:sz="0" w:space="0" w:color="auto"/>
        <w:left w:val="none" w:sz="0" w:space="0" w:color="auto"/>
        <w:bottom w:val="none" w:sz="0" w:space="0" w:color="auto"/>
        <w:right w:val="none" w:sz="0" w:space="0" w:color="auto"/>
      </w:divBdr>
    </w:div>
    <w:div w:id="857893772">
      <w:bodyDiv w:val="1"/>
      <w:marLeft w:val="0"/>
      <w:marRight w:val="0"/>
      <w:marTop w:val="0"/>
      <w:marBottom w:val="0"/>
      <w:divBdr>
        <w:top w:val="none" w:sz="0" w:space="0" w:color="auto"/>
        <w:left w:val="none" w:sz="0" w:space="0" w:color="auto"/>
        <w:bottom w:val="none" w:sz="0" w:space="0" w:color="auto"/>
        <w:right w:val="none" w:sz="0" w:space="0" w:color="auto"/>
      </w:divBdr>
    </w:div>
    <w:div w:id="859897924">
      <w:bodyDiv w:val="1"/>
      <w:marLeft w:val="0"/>
      <w:marRight w:val="0"/>
      <w:marTop w:val="0"/>
      <w:marBottom w:val="0"/>
      <w:divBdr>
        <w:top w:val="none" w:sz="0" w:space="0" w:color="auto"/>
        <w:left w:val="none" w:sz="0" w:space="0" w:color="auto"/>
        <w:bottom w:val="none" w:sz="0" w:space="0" w:color="auto"/>
        <w:right w:val="none" w:sz="0" w:space="0" w:color="auto"/>
      </w:divBdr>
    </w:div>
    <w:div w:id="872156532">
      <w:bodyDiv w:val="1"/>
      <w:marLeft w:val="0"/>
      <w:marRight w:val="0"/>
      <w:marTop w:val="0"/>
      <w:marBottom w:val="0"/>
      <w:divBdr>
        <w:top w:val="none" w:sz="0" w:space="0" w:color="auto"/>
        <w:left w:val="none" w:sz="0" w:space="0" w:color="auto"/>
        <w:bottom w:val="none" w:sz="0" w:space="0" w:color="auto"/>
        <w:right w:val="none" w:sz="0" w:space="0" w:color="auto"/>
      </w:divBdr>
      <w:divsChild>
        <w:div w:id="111822175">
          <w:marLeft w:val="0"/>
          <w:marRight w:val="0"/>
          <w:marTop w:val="0"/>
          <w:marBottom w:val="0"/>
          <w:divBdr>
            <w:top w:val="none" w:sz="0" w:space="0" w:color="auto"/>
            <w:left w:val="none" w:sz="0" w:space="0" w:color="auto"/>
            <w:bottom w:val="none" w:sz="0" w:space="0" w:color="auto"/>
            <w:right w:val="none" w:sz="0" w:space="0" w:color="auto"/>
          </w:divBdr>
        </w:div>
        <w:div w:id="1204053212">
          <w:marLeft w:val="0"/>
          <w:marRight w:val="0"/>
          <w:marTop w:val="0"/>
          <w:marBottom w:val="0"/>
          <w:divBdr>
            <w:top w:val="none" w:sz="0" w:space="0" w:color="auto"/>
            <w:left w:val="none" w:sz="0" w:space="0" w:color="auto"/>
            <w:bottom w:val="none" w:sz="0" w:space="0" w:color="auto"/>
            <w:right w:val="none" w:sz="0" w:space="0" w:color="auto"/>
          </w:divBdr>
        </w:div>
        <w:div w:id="1518226225">
          <w:marLeft w:val="0"/>
          <w:marRight w:val="0"/>
          <w:marTop w:val="0"/>
          <w:marBottom w:val="0"/>
          <w:divBdr>
            <w:top w:val="none" w:sz="0" w:space="0" w:color="auto"/>
            <w:left w:val="none" w:sz="0" w:space="0" w:color="auto"/>
            <w:bottom w:val="none" w:sz="0" w:space="0" w:color="auto"/>
            <w:right w:val="none" w:sz="0" w:space="0" w:color="auto"/>
          </w:divBdr>
        </w:div>
        <w:div w:id="1635671682">
          <w:marLeft w:val="0"/>
          <w:marRight w:val="0"/>
          <w:marTop w:val="0"/>
          <w:marBottom w:val="0"/>
          <w:divBdr>
            <w:top w:val="none" w:sz="0" w:space="0" w:color="auto"/>
            <w:left w:val="none" w:sz="0" w:space="0" w:color="auto"/>
            <w:bottom w:val="none" w:sz="0" w:space="0" w:color="auto"/>
            <w:right w:val="none" w:sz="0" w:space="0" w:color="auto"/>
          </w:divBdr>
        </w:div>
      </w:divsChild>
    </w:div>
    <w:div w:id="1004625974">
      <w:bodyDiv w:val="1"/>
      <w:marLeft w:val="0"/>
      <w:marRight w:val="0"/>
      <w:marTop w:val="0"/>
      <w:marBottom w:val="0"/>
      <w:divBdr>
        <w:top w:val="none" w:sz="0" w:space="0" w:color="auto"/>
        <w:left w:val="none" w:sz="0" w:space="0" w:color="auto"/>
        <w:bottom w:val="none" w:sz="0" w:space="0" w:color="auto"/>
        <w:right w:val="none" w:sz="0" w:space="0" w:color="auto"/>
      </w:divBdr>
    </w:div>
    <w:div w:id="1008364359">
      <w:bodyDiv w:val="1"/>
      <w:marLeft w:val="0"/>
      <w:marRight w:val="0"/>
      <w:marTop w:val="0"/>
      <w:marBottom w:val="0"/>
      <w:divBdr>
        <w:top w:val="none" w:sz="0" w:space="0" w:color="auto"/>
        <w:left w:val="none" w:sz="0" w:space="0" w:color="auto"/>
        <w:bottom w:val="none" w:sz="0" w:space="0" w:color="auto"/>
        <w:right w:val="none" w:sz="0" w:space="0" w:color="auto"/>
      </w:divBdr>
    </w:div>
    <w:div w:id="1157497929">
      <w:bodyDiv w:val="1"/>
      <w:marLeft w:val="0"/>
      <w:marRight w:val="0"/>
      <w:marTop w:val="0"/>
      <w:marBottom w:val="0"/>
      <w:divBdr>
        <w:top w:val="none" w:sz="0" w:space="0" w:color="auto"/>
        <w:left w:val="none" w:sz="0" w:space="0" w:color="auto"/>
        <w:bottom w:val="none" w:sz="0" w:space="0" w:color="auto"/>
        <w:right w:val="none" w:sz="0" w:space="0" w:color="auto"/>
      </w:divBdr>
    </w:div>
    <w:div w:id="1158034334">
      <w:bodyDiv w:val="1"/>
      <w:marLeft w:val="0"/>
      <w:marRight w:val="0"/>
      <w:marTop w:val="0"/>
      <w:marBottom w:val="0"/>
      <w:divBdr>
        <w:top w:val="none" w:sz="0" w:space="0" w:color="auto"/>
        <w:left w:val="none" w:sz="0" w:space="0" w:color="auto"/>
        <w:bottom w:val="none" w:sz="0" w:space="0" w:color="auto"/>
        <w:right w:val="none" w:sz="0" w:space="0" w:color="auto"/>
      </w:divBdr>
      <w:divsChild>
        <w:div w:id="1818260093">
          <w:marLeft w:val="0"/>
          <w:marRight w:val="0"/>
          <w:marTop w:val="0"/>
          <w:marBottom w:val="0"/>
          <w:divBdr>
            <w:top w:val="none" w:sz="0" w:space="0" w:color="auto"/>
            <w:left w:val="none" w:sz="0" w:space="0" w:color="auto"/>
            <w:bottom w:val="none" w:sz="0" w:space="0" w:color="auto"/>
            <w:right w:val="none" w:sz="0" w:space="0" w:color="auto"/>
          </w:divBdr>
          <w:divsChild>
            <w:div w:id="1643388713">
              <w:marLeft w:val="0"/>
              <w:marRight w:val="0"/>
              <w:marTop w:val="0"/>
              <w:marBottom w:val="0"/>
              <w:divBdr>
                <w:top w:val="none" w:sz="0" w:space="0" w:color="auto"/>
                <w:left w:val="none" w:sz="0" w:space="0" w:color="auto"/>
                <w:bottom w:val="none" w:sz="0" w:space="0" w:color="auto"/>
                <w:right w:val="none" w:sz="0" w:space="0" w:color="auto"/>
              </w:divBdr>
              <w:divsChild>
                <w:div w:id="858738089">
                  <w:marLeft w:val="0"/>
                  <w:marRight w:val="0"/>
                  <w:marTop w:val="0"/>
                  <w:marBottom w:val="0"/>
                  <w:divBdr>
                    <w:top w:val="none" w:sz="0" w:space="0" w:color="auto"/>
                    <w:left w:val="none" w:sz="0" w:space="0" w:color="auto"/>
                    <w:bottom w:val="none" w:sz="0" w:space="0" w:color="auto"/>
                    <w:right w:val="none" w:sz="0" w:space="0" w:color="auto"/>
                  </w:divBdr>
                  <w:divsChild>
                    <w:div w:id="1268856340">
                      <w:marLeft w:val="0"/>
                      <w:marRight w:val="0"/>
                      <w:marTop w:val="0"/>
                      <w:marBottom w:val="0"/>
                      <w:divBdr>
                        <w:top w:val="none" w:sz="0" w:space="0" w:color="auto"/>
                        <w:left w:val="none" w:sz="0" w:space="0" w:color="auto"/>
                        <w:bottom w:val="none" w:sz="0" w:space="0" w:color="auto"/>
                        <w:right w:val="none" w:sz="0" w:space="0" w:color="auto"/>
                      </w:divBdr>
                      <w:divsChild>
                        <w:div w:id="1944995790">
                          <w:marLeft w:val="0"/>
                          <w:marRight w:val="0"/>
                          <w:marTop w:val="0"/>
                          <w:marBottom w:val="0"/>
                          <w:divBdr>
                            <w:top w:val="none" w:sz="0" w:space="0" w:color="auto"/>
                            <w:left w:val="none" w:sz="0" w:space="0" w:color="auto"/>
                            <w:bottom w:val="none" w:sz="0" w:space="0" w:color="auto"/>
                            <w:right w:val="none" w:sz="0" w:space="0" w:color="auto"/>
                          </w:divBdr>
                          <w:divsChild>
                            <w:div w:id="117114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9661965">
      <w:bodyDiv w:val="1"/>
      <w:marLeft w:val="0"/>
      <w:marRight w:val="0"/>
      <w:marTop w:val="0"/>
      <w:marBottom w:val="0"/>
      <w:divBdr>
        <w:top w:val="none" w:sz="0" w:space="0" w:color="auto"/>
        <w:left w:val="none" w:sz="0" w:space="0" w:color="auto"/>
        <w:bottom w:val="none" w:sz="0" w:space="0" w:color="auto"/>
        <w:right w:val="none" w:sz="0" w:space="0" w:color="auto"/>
      </w:divBdr>
    </w:div>
    <w:div w:id="1188327363">
      <w:bodyDiv w:val="1"/>
      <w:marLeft w:val="0"/>
      <w:marRight w:val="0"/>
      <w:marTop w:val="0"/>
      <w:marBottom w:val="0"/>
      <w:divBdr>
        <w:top w:val="none" w:sz="0" w:space="0" w:color="auto"/>
        <w:left w:val="none" w:sz="0" w:space="0" w:color="auto"/>
        <w:bottom w:val="none" w:sz="0" w:space="0" w:color="auto"/>
        <w:right w:val="none" w:sz="0" w:space="0" w:color="auto"/>
      </w:divBdr>
    </w:div>
    <w:div w:id="1188713406">
      <w:bodyDiv w:val="1"/>
      <w:marLeft w:val="0"/>
      <w:marRight w:val="0"/>
      <w:marTop w:val="0"/>
      <w:marBottom w:val="0"/>
      <w:divBdr>
        <w:top w:val="none" w:sz="0" w:space="0" w:color="auto"/>
        <w:left w:val="none" w:sz="0" w:space="0" w:color="auto"/>
        <w:bottom w:val="none" w:sz="0" w:space="0" w:color="auto"/>
        <w:right w:val="none" w:sz="0" w:space="0" w:color="auto"/>
      </w:divBdr>
    </w:div>
    <w:div w:id="1201480559">
      <w:bodyDiv w:val="1"/>
      <w:marLeft w:val="0"/>
      <w:marRight w:val="0"/>
      <w:marTop w:val="0"/>
      <w:marBottom w:val="0"/>
      <w:divBdr>
        <w:top w:val="none" w:sz="0" w:space="0" w:color="auto"/>
        <w:left w:val="none" w:sz="0" w:space="0" w:color="auto"/>
        <w:bottom w:val="none" w:sz="0" w:space="0" w:color="auto"/>
        <w:right w:val="none" w:sz="0" w:space="0" w:color="auto"/>
      </w:divBdr>
    </w:div>
    <w:div w:id="1236234490">
      <w:bodyDiv w:val="1"/>
      <w:marLeft w:val="0"/>
      <w:marRight w:val="0"/>
      <w:marTop w:val="0"/>
      <w:marBottom w:val="0"/>
      <w:divBdr>
        <w:top w:val="none" w:sz="0" w:space="0" w:color="auto"/>
        <w:left w:val="none" w:sz="0" w:space="0" w:color="auto"/>
        <w:bottom w:val="none" w:sz="0" w:space="0" w:color="auto"/>
        <w:right w:val="none" w:sz="0" w:space="0" w:color="auto"/>
      </w:divBdr>
    </w:div>
    <w:div w:id="1287353703">
      <w:bodyDiv w:val="1"/>
      <w:marLeft w:val="0"/>
      <w:marRight w:val="0"/>
      <w:marTop w:val="0"/>
      <w:marBottom w:val="0"/>
      <w:divBdr>
        <w:top w:val="none" w:sz="0" w:space="0" w:color="auto"/>
        <w:left w:val="none" w:sz="0" w:space="0" w:color="auto"/>
        <w:bottom w:val="none" w:sz="0" w:space="0" w:color="auto"/>
        <w:right w:val="none" w:sz="0" w:space="0" w:color="auto"/>
      </w:divBdr>
    </w:div>
    <w:div w:id="1287734118">
      <w:bodyDiv w:val="1"/>
      <w:marLeft w:val="0"/>
      <w:marRight w:val="0"/>
      <w:marTop w:val="0"/>
      <w:marBottom w:val="0"/>
      <w:divBdr>
        <w:top w:val="none" w:sz="0" w:space="0" w:color="auto"/>
        <w:left w:val="none" w:sz="0" w:space="0" w:color="auto"/>
        <w:bottom w:val="none" w:sz="0" w:space="0" w:color="auto"/>
        <w:right w:val="none" w:sz="0" w:space="0" w:color="auto"/>
      </w:divBdr>
    </w:div>
    <w:div w:id="1304700581">
      <w:bodyDiv w:val="1"/>
      <w:marLeft w:val="0"/>
      <w:marRight w:val="0"/>
      <w:marTop w:val="0"/>
      <w:marBottom w:val="0"/>
      <w:divBdr>
        <w:top w:val="none" w:sz="0" w:space="0" w:color="auto"/>
        <w:left w:val="none" w:sz="0" w:space="0" w:color="auto"/>
        <w:bottom w:val="none" w:sz="0" w:space="0" w:color="auto"/>
        <w:right w:val="none" w:sz="0" w:space="0" w:color="auto"/>
      </w:divBdr>
      <w:divsChild>
        <w:div w:id="310401317">
          <w:marLeft w:val="0"/>
          <w:marRight w:val="0"/>
          <w:marTop w:val="0"/>
          <w:marBottom w:val="0"/>
          <w:divBdr>
            <w:top w:val="none" w:sz="0" w:space="0" w:color="auto"/>
            <w:left w:val="none" w:sz="0" w:space="0" w:color="auto"/>
            <w:bottom w:val="none" w:sz="0" w:space="0" w:color="auto"/>
            <w:right w:val="none" w:sz="0" w:space="0" w:color="auto"/>
          </w:divBdr>
          <w:divsChild>
            <w:div w:id="773863979">
              <w:marLeft w:val="0"/>
              <w:marRight w:val="0"/>
              <w:marTop w:val="0"/>
              <w:marBottom w:val="0"/>
              <w:divBdr>
                <w:top w:val="none" w:sz="0" w:space="0" w:color="auto"/>
                <w:left w:val="none" w:sz="0" w:space="0" w:color="auto"/>
                <w:bottom w:val="none" w:sz="0" w:space="0" w:color="auto"/>
                <w:right w:val="none" w:sz="0" w:space="0" w:color="auto"/>
              </w:divBdr>
              <w:divsChild>
                <w:div w:id="1120997255">
                  <w:marLeft w:val="0"/>
                  <w:marRight w:val="0"/>
                  <w:marTop w:val="0"/>
                  <w:marBottom w:val="0"/>
                  <w:divBdr>
                    <w:top w:val="none" w:sz="0" w:space="0" w:color="auto"/>
                    <w:left w:val="none" w:sz="0" w:space="0" w:color="auto"/>
                    <w:bottom w:val="none" w:sz="0" w:space="0" w:color="auto"/>
                    <w:right w:val="none" w:sz="0" w:space="0" w:color="auto"/>
                  </w:divBdr>
                  <w:divsChild>
                    <w:div w:id="62161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617092">
          <w:marLeft w:val="0"/>
          <w:marRight w:val="0"/>
          <w:marTop w:val="0"/>
          <w:marBottom w:val="0"/>
          <w:divBdr>
            <w:top w:val="none" w:sz="0" w:space="0" w:color="auto"/>
            <w:left w:val="none" w:sz="0" w:space="0" w:color="auto"/>
            <w:bottom w:val="none" w:sz="0" w:space="0" w:color="auto"/>
            <w:right w:val="none" w:sz="0" w:space="0" w:color="auto"/>
          </w:divBdr>
          <w:divsChild>
            <w:div w:id="963271206">
              <w:marLeft w:val="0"/>
              <w:marRight w:val="0"/>
              <w:marTop w:val="0"/>
              <w:marBottom w:val="0"/>
              <w:divBdr>
                <w:top w:val="none" w:sz="0" w:space="0" w:color="auto"/>
                <w:left w:val="none" w:sz="0" w:space="0" w:color="auto"/>
                <w:bottom w:val="none" w:sz="0" w:space="0" w:color="auto"/>
                <w:right w:val="none" w:sz="0" w:space="0" w:color="auto"/>
              </w:divBdr>
              <w:divsChild>
                <w:div w:id="1837722429">
                  <w:marLeft w:val="0"/>
                  <w:marRight w:val="0"/>
                  <w:marTop w:val="0"/>
                  <w:marBottom w:val="0"/>
                  <w:divBdr>
                    <w:top w:val="none" w:sz="0" w:space="0" w:color="auto"/>
                    <w:left w:val="none" w:sz="0" w:space="0" w:color="auto"/>
                    <w:bottom w:val="none" w:sz="0" w:space="0" w:color="auto"/>
                    <w:right w:val="none" w:sz="0" w:space="0" w:color="auto"/>
                  </w:divBdr>
                  <w:divsChild>
                    <w:div w:id="205988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6280531">
      <w:bodyDiv w:val="1"/>
      <w:marLeft w:val="0"/>
      <w:marRight w:val="0"/>
      <w:marTop w:val="0"/>
      <w:marBottom w:val="0"/>
      <w:divBdr>
        <w:top w:val="none" w:sz="0" w:space="0" w:color="auto"/>
        <w:left w:val="none" w:sz="0" w:space="0" w:color="auto"/>
        <w:bottom w:val="none" w:sz="0" w:space="0" w:color="auto"/>
        <w:right w:val="none" w:sz="0" w:space="0" w:color="auto"/>
      </w:divBdr>
    </w:div>
    <w:div w:id="1345089537">
      <w:bodyDiv w:val="1"/>
      <w:marLeft w:val="0"/>
      <w:marRight w:val="0"/>
      <w:marTop w:val="0"/>
      <w:marBottom w:val="0"/>
      <w:divBdr>
        <w:top w:val="none" w:sz="0" w:space="0" w:color="auto"/>
        <w:left w:val="none" w:sz="0" w:space="0" w:color="auto"/>
        <w:bottom w:val="none" w:sz="0" w:space="0" w:color="auto"/>
        <w:right w:val="none" w:sz="0" w:space="0" w:color="auto"/>
      </w:divBdr>
      <w:divsChild>
        <w:div w:id="12657628">
          <w:marLeft w:val="0"/>
          <w:marRight w:val="0"/>
          <w:marTop w:val="0"/>
          <w:marBottom w:val="0"/>
          <w:divBdr>
            <w:top w:val="none" w:sz="0" w:space="0" w:color="auto"/>
            <w:left w:val="none" w:sz="0" w:space="0" w:color="auto"/>
            <w:bottom w:val="none" w:sz="0" w:space="0" w:color="auto"/>
            <w:right w:val="none" w:sz="0" w:space="0" w:color="auto"/>
          </w:divBdr>
          <w:divsChild>
            <w:div w:id="1729576347">
              <w:marLeft w:val="0"/>
              <w:marRight w:val="0"/>
              <w:marTop w:val="0"/>
              <w:marBottom w:val="0"/>
              <w:divBdr>
                <w:top w:val="none" w:sz="0" w:space="0" w:color="auto"/>
                <w:left w:val="none" w:sz="0" w:space="0" w:color="auto"/>
                <w:bottom w:val="none" w:sz="0" w:space="0" w:color="auto"/>
                <w:right w:val="none" w:sz="0" w:space="0" w:color="auto"/>
              </w:divBdr>
              <w:divsChild>
                <w:div w:id="606735263">
                  <w:marLeft w:val="0"/>
                  <w:marRight w:val="0"/>
                  <w:marTop w:val="0"/>
                  <w:marBottom w:val="0"/>
                  <w:divBdr>
                    <w:top w:val="none" w:sz="0" w:space="0" w:color="auto"/>
                    <w:left w:val="none" w:sz="0" w:space="0" w:color="auto"/>
                    <w:bottom w:val="none" w:sz="0" w:space="0" w:color="auto"/>
                    <w:right w:val="none" w:sz="0" w:space="0" w:color="auto"/>
                  </w:divBdr>
                  <w:divsChild>
                    <w:div w:id="744256651">
                      <w:marLeft w:val="0"/>
                      <w:marRight w:val="0"/>
                      <w:marTop w:val="0"/>
                      <w:marBottom w:val="0"/>
                      <w:divBdr>
                        <w:top w:val="none" w:sz="0" w:space="0" w:color="auto"/>
                        <w:left w:val="none" w:sz="0" w:space="0" w:color="auto"/>
                        <w:bottom w:val="none" w:sz="0" w:space="0" w:color="auto"/>
                        <w:right w:val="none" w:sz="0" w:space="0" w:color="auto"/>
                      </w:divBdr>
                      <w:divsChild>
                        <w:div w:id="1717467539">
                          <w:marLeft w:val="0"/>
                          <w:marRight w:val="0"/>
                          <w:marTop w:val="0"/>
                          <w:marBottom w:val="0"/>
                          <w:divBdr>
                            <w:top w:val="none" w:sz="0" w:space="0" w:color="auto"/>
                            <w:left w:val="none" w:sz="0" w:space="0" w:color="auto"/>
                            <w:bottom w:val="none" w:sz="0" w:space="0" w:color="auto"/>
                            <w:right w:val="none" w:sz="0" w:space="0" w:color="auto"/>
                          </w:divBdr>
                          <w:divsChild>
                            <w:div w:id="2113745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3801548">
      <w:bodyDiv w:val="1"/>
      <w:marLeft w:val="0"/>
      <w:marRight w:val="0"/>
      <w:marTop w:val="0"/>
      <w:marBottom w:val="0"/>
      <w:divBdr>
        <w:top w:val="none" w:sz="0" w:space="0" w:color="auto"/>
        <w:left w:val="none" w:sz="0" w:space="0" w:color="auto"/>
        <w:bottom w:val="none" w:sz="0" w:space="0" w:color="auto"/>
        <w:right w:val="none" w:sz="0" w:space="0" w:color="auto"/>
      </w:divBdr>
      <w:divsChild>
        <w:div w:id="313921419">
          <w:marLeft w:val="0"/>
          <w:marRight w:val="0"/>
          <w:marTop w:val="0"/>
          <w:marBottom w:val="0"/>
          <w:divBdr>
            <w:top w:val="none" w:sz="0" w:space="0" w:color="auto"/>
            <w:left w:val="none" w:sz="0" w:space="0" w:color="auto"/>
            <w:bottom w:val="none" w:sz="0" w:space="0" w:color="auto"/>
            <w:right w:val="none" w:sz="0" w:space="0" w:color="auto"/>
          </w:divBdr>
          <w:divsChild>
            <w:div w:id="710618789">
              <w:marLeft w:val="0"/>
              <w:marRight w:val="0"/>
              <w:marTop w:val="0"/>
              <w:marBottom w:val="0"/>
              <w:divBdr>
                <w:top w:val="none" w:sz="0" w:space="0" w:color="auto"/>
                <w:left w:val="none" w:sz="0" w:space="0" w:color="auto"/>
                <w:bottom w:val="none" w:sz="0" w:space="0" w:color="auto"/>
                <w:right w:val="none" w:sz="0" w:space="0" w:color="auto"/>
              </w:divBdr>
              <w:divsChild>
                <w:div w:id="1752433105">
                  <w:marLeft w:val="0"/>
                  <w:marRight w:val="0"/>
                  <w:marTop w:val="0"/>
                  <w:marBottom w:val="0"/>
                  <w:divBdr>
                    <w:top w:val="none" w:sz="0" w:space="0" w:color="auto"/>
                    <w:left w:val="none" w:sz="0" w:space="0" w:color="auto"/>
                    <w:bottom w:val="none" w:sz="0" w:space="0" w:color="auto"/>
                    <w:right w:val="none" w:sz="0" w:space="0" w:color="auto"/>
                  </w:divBdr>
                  <w:divsChild>
                    <w:div w:id="199552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0379337">
          <w:marLeft w:val="0"/>
          <w:marRight w:val="0"/>
          <w:marTop w:val="0"/>
          <w:marBottom w:val="0"/>
          <w:divBdr>
            <w:top w:val="none" w:sz="0" w:space="0" w:color="auto"/>
            <w:left w:val="none" w:sz="0" w:space="0" w:color="auto"/>
            <w:bottom w:val="none" w:sz="0" w:space="0" w:color="auto"/>
            <w:right w:val="none" w:sz="0" w:space="0" w:color="auto"/>
          </w:divBdr>
          <w:divsChild>
            <w:div w:id="1924952348">
              <w:marLeft w:val="0"/>
              <w:marRight w:val="0"/>
              <w:marTop w:val="0"/>
              <w:marBottom w:val="0"/>
              <w:divBdr>
                <w:top w:val="none" w:sz="0" w:space="0" w:color="auto"/>
                <w:left w:val="none" w:sz="0" w:space="0" w:color="auto"/>
                <w:bottom w:val="none" w:sz="0" w:space="0" w:color="auto"/>
                <w:right w:val="none" w:sz="0" w:space="0" w:color="auto"/>
              </w:divBdr>
              <w:divsChild>
                <w:div w:id="1861555">
                  <w:marLeft w:val="0"/>
                  <w:marRight w:val="0"/>
                  <w:marTop w:val="0"/>
                  <w:marBottom w:val="0"/>
                  <w:divBdr>
                    <w:top w:val="none" w:sz="0" w:space="0" w:color="auto"/>
                    <w:left w:val="none" w:sz="0" w:space="0" w:color="auto"/>
                    <w:bottom w:val="none" w:sz="0" w:space="0" w:color="auto"/>
                    <w:right w:val="none" w:sz="0" w:space="0" w:color="auto"/>
                  </w:divBdr>
                  <w:divsChild>
                    <w:div w:id="88063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8971500">
      <w:bodyDiv w:val="1"/>
      <w:marLeft w:val="0"/>
      <w:marRight w:val="0"/>
      <w:marTop w:val="0"/>
      <w:marBottom w:val="0"/>
      <w:divBdr>
        <w:top w:val="none" w:sz="0" w:space="0" w:color="auto"/>
        <w:left w:val="none" w:sz="0" w:space="0" w:color="auto"/>
        <w:bottom w:val="none" w:sz="0" w:space="0" w:color="auto"/>
        <w:right w:val="none" w:sz="0" w:space="0" w:color="auto"/>
      </w:divBdr>
    </w:div>
    <w:div w:id="1378629891">
      <w:bodyDiv w:val="1"/>
      <w:marLeft w:val="0"/>
      <w:marRight w:val="0"/>
      <w:marTop w:val="0"/>
      <w:marBottom w:val="0"/>
      <w:divBdr>
        <w:top w:val="none" w:sz="0" w:space="0" w:color="auto"/>
        <w:left w:val="none" w:sz="0" w:space="0" w:color="auto"/>
        <w:bottom w:val="none" w:sz="0" w:space="0" w:color="auto"/>
        <w:right w:val="none" w:sz="0" w:space="0" w:color="auto"/>
      </w:divBdr>
    </w:div>
    <w:div w:id="1414350505">
      <w:bodyDiv w:val="1"/>
      <w:marLeft w:val="0"/>
      <w:marRight w:val="0"/>
      <w:marTop w:val="0"/>
      <w:marBottom w:val="0"/>
      <w:divBdr>
        <w:top w:val="none" w:sz="0" w:space="0" w:color="auto"/>
        <w:left w:val="none" w:sz="0" w:space="0" w:color="auto"/>
        <w:bottom w:val="none" w:sz="0" w:space="0" w:color="auto"/>
        <w:right w:val="none" w:sz="0" w:space="0" w:color="auto"/>
      </w:divBdr>
    </w:div>
    <w:div w:id="1434126103">
      <w:bodyDiv w:val="1"/>
      <w:marLeft w:val="0"/>
      <w:marRight w:val="0"/>
      <w:marTop w:val="0"/>
      <w:marBottom w:val="0"/>
      <w:divBdr>
        <w:top w:val="none" w:sz="0" w:space="0" w:color="auto"/>
        <w:left w:val="none" w:sz="0" w:space="0" w:color="auto"/>
        <w:bottom w:val="none" w:sz="0" w:space="0" w:color="auto"/>
        <w:right w:val="none" w:sz="0" w:space="0" w:color="auto"/>
      </w:divBdr>
    </w:div>
    <w:div w:id="1452093850">
      <w:bodyDiv w:val="1"/>
      <w:marLeft w:val="0"/>
      <w:marRight w:val="0"/>
      <w:marTop w:val="0"/>
      <w:marBottom w:val="0"/>
      <w:divBdr>
        <w:top w:val="none" w:sz="0" w:space="0" w:color="auto"/>
        <w:left w:val="none" w:sz="0" w:space="0" w:color="auto"/>
        <w:bottom w:val="none" w:sz="0" w:space="0" w:color="auto"/>
        <w:right w:val="none" w:sz="0" w:space="0" w:color="auto"/>
      </w:divBdr>
    </w:div>
    <w:div w:id="1475180324">
      <w:bodyDiv w:val="1"/>
      <w:marLeft w:val="0"/>
      <w:marRight w:val="0"/>
      <w:marTop w:val="0"/>
      <w:marBottom w:val="0"/>
      <w:divBdr>
        <w:top w:val="none" w:sz="0" w:space="0" w:color="auto"/>
        <w:left w:val="none" w:sz="0" w:space="0" w:color="auto"/>
        <w:bottom w:val="none" w:sz="0" w:space="0" w:color="auto"/>
        <w:right w:val="none" w:sz="0" w:space="0" w:color="auto"/>
      </w:divBdr>
    </w:div>
    <w:div w:id="1501238454">
      <w:bodyDiv w:val="1"/>
      <w:marLeft w:val="0"/>
      <w:marRight w:val="0"/>
      <w:marTop w:val="0"/>
      <w:marBottom w:val="0"/>
      <w:divBdr>
        <w:top w:val="none" w:sz="0" w:space="0" w:color="auto"/>
        <w:left w:val="none" w:sz="0" w:space="0" w:color="auto"/>
        <w:bottom w:val="none" w:sz="0" w:space="0" w:color="auto"/>
        <w:right w:val="none" w:sz="0" w:space="0" w:color="auto"/>
      </w:divBdr>
    </w:div>
    <w:div w:id="1521042479">
      <w:bodyDiv w:val="1"/>
      <w:marLeft w:val="0"/>
      <w:marRight w:val="0"/>
      <w:marTop w:val="0"/>
      <w:marBottom w:val="0"/>
      <w:divBdr>
        <w:top w:val="none" w:sz="0" w:space="0" w:color="auto"/>
        <w:left w:val="none" w:sz="0" w:space="0" w:color="auto"/>
        <w:bottom w:val="none" w:sz="0" w:space="0" w:color="auto"/>
        <w:right w:val="none" w:sz="0" w:space="0" w:color="auto"/>
      </w:divBdr>
    </w:div>
    <w:div w:id="1556309916">
      <w:bodyDiv w:val="1"/>
      <w:marLeft w:val="0"/>
      <w:marRight w:val="0"/>
      <w:marTop w:val="0"/>
      <w:marBottom w:val="0"/>
      <w:divBdr>
        <w:top w:val="none" w:sz="0" w:space="0" w:color="auto"/>
        <w:left w:val="none" w:sz="0" w:space="0" w:color="auto"/>
        <w:bottom w:val="none" w:sz="0" w:space="0" w:color="auto"/>
        <w:right w:val="none" w:sz="0" w:space="0" w:color="auto"/>
      </w:divBdr>
    </w:div>
    <w:div w:id="1558512207">
      <w:bodyDiv w:val="1"/>
      <w:marLeft w:val="0"/>
      <w:marRight w:val="0"/>
      <w:marTop w:val="0"/>
      <w:marBottom w:val="0"/>
      <w:divBdr>
        <w:top w:val="none" w:sz="0" w:space="0" w:color="auto"/>
        <w:left w:val="none" w:sz="0" w:space="0" w:color="auto"/>
        <w:bottom w:val="none" w:sz="0" w:space="0" w:color="auto"/>
        <w:right w:val="none" w:sz="0" w:space="0" w:color="auto"/>
      </w:divBdr>
    </w:div>
    <w:div w:id="1581141550">
      <w:bodyDiv w:val="1"/>
      <w:marLeft w:val="0"/>
      <w:marRight w:val="0"/>
      <w:marTop w:val="0"/>
      <w:marBottom w:val="0"/>
      <w:divBdr>
        <w:top w:val="none" w:sz="0" w:space="0" w:color="auto"/>
        <w:left w:val="none" w:sz="0" w:space="0" w:color="auto"/>
        <w:bottom w:val="none" w:sz="0" w:space="0" w:color="auto"/>
        <w:right w:val="none" w:sz="0" w:space="0" w:color="auto"/>
      </w:divBdr>
    </w:div>
    <w:div w:id="1601330568">
      <w:bodyDiv w:val="1"/>
      <w:marLeft w:val="0"/>
      <w:marRight w:val="0"/>
      <w:marTop w:val="0"/>
      <w:marBottom w:val="0"/>
      <w:divBdr>
        <w:top w:val="none" w:sz="0" w:space="0" w:color="auto"/>
        <w:left w:val="none" w:sz="0" w:space="0" w:color="auto"/>
        <w:bottom w:val="none" w:sz="0" w:space="0" w:color="auto"/>
        <w:right w:val="none" w:sz="0" w:space="0" w:color="auto"/>
      </w:divBdr>
    </w:div>
    <w:div w:id="1606304249">
      <w:bodyDiv w:val="1"/>
      <w:marLeft w:val="0"/>
      <w:marRight w:val="0"/>
      <w:marTop w:val="0"/>
      <w:marBottom w:val="0"/>
      <w:divBdr>
        <w:top w:val="none" w:sz="0" w:space="0" w:color="auto"/>
        <w:left w:val="none" w:sz="0" w:space="0" w:color="auto"/>
        <w:bottom w:val="none" w:sz="0" w:space="0" w:color="auto"/>
        <w:right w:val="none" w:sz="0" w:space="0" w:color="auto"/>
      </w:divBdr>
      <w:divsChild>
        <w:div w:id="1817455671">
          <w:marLeft w:val="0"/>
          <w:marRight w:val="0"/>
          <w:marTop w:val="0"/>
          <w:marBottom w:val="0"/>
          <w:divBdr>
            <w:top w:val="none" w:sz="0" w:space="0" w:color="auto"/>
            <w:left w:val="none" w:sz="0" w:space="0" w:color="auto"/>
            <w:bottom w:val="none" w:sz="0" w:space="0" w:color="auto"/>
            <w:right w:val="none" w:sz="0" w:space="0" w:color="auto"/>
          </w:divBdr>
          <w:divsChild>
            <w:div w:id="1881242255">
              <w:marLeft w:val="0"/>
              <w:marRight w:val="0"/>
              <w:marTop w:val="0"/>
              <w:marBottom w:val="0"/>
              <w:divBdr>
                <w:top w:val="none" w:sz="0" w:space="0" w:color="auto"/>
                <w:left w:val="none" w:sz="0" w:space="0" w:color="auto"/>
                <w:bottom w:val="none" w:sz="0" w:space="0" w:color="auto"/>
                <w:right w:val="none" w:sz="0" w:space="0" w:color="auto"/>
              </w:divBdr>
              <w:divsChild>
                <w:div w:id="811403928">
                  <w:marLeft w:val="0"/>
                  <w:marRight w:val="0"/>
                  <w:marTop w:val="0"/>
                  <w:marBottom w:val="0"/>
                  <w:divBdr>
                    <w:top w:val="none" w:sz="0" w:space="0" w:color="auto"/>
                    <w:left w:val="none" w:sz="0" w:space="0" w:color="auto"/>
                    <w:bottom w:val="none" w:sz="0" w:space="0" w:color="auto"/>
                    <w:right w:val="none" w:sz="0" w:space="0" w:color="auto"/>
                  </w:divBdr>
                  <w:divsChild>
                    <w:div w:id="364063194">
                      <w:marLeft w:val="0"/>
                      <w:marRight w:val="0"/>
                      <w:marTop w:val="0"/>
                      <w:marBottom w:val="0"/>
                      <w:divBdr>
                        <w:top w:val="none" w:sz="0" w:space="0" w:color="auto"/>
                        <w:left w:val="none" w:sz="0" w:space="0" w:color="auto"/>
                        <w:bottom w:val="none" w:sz="0" w:space="0" w:color="auto"/>
                        <w:right w:val="none" w:sz="0" w:space="0" w:color="auto"/>
                      </w:divBdr>
                      <w:divsChild>
                        <w:div w:id="98526749">
                          <w:marLeft w:val="0"/>
                          <w:marRight w:val="0"/>
                          <w:marTop w:val="0"/>
                          <w:marBottom w:val="0"/>
                          <w:divBdr>
                            <w:top w:val="none" w:sz="0" w:space="0" w:color="auto"/>
                            <w:left w:val="none" w:sz="0" w:space="0" w:color="auto"/>
                            <w:bottom w:val="none" w:sz="0" w:space="0" w:color="auto"/>
                            <w:right w:val="none" w:sz="0" w:space="0" w:color="auto"/>
                          </w:divBdr>
                          <w:divsChild>
                            <w:div w:id="110974388">
                              <w:marLeft w:val="0"/>
                              <w:marRight w:val="0"/>
                              <w:marTop w:val="0"/>
                              <w:marBottom w:val="0"/>
                              <w:divBdr>
                                <w:top w:val="none" w:sz="0" w:space="0" w:color="auto"/>
                                <w:left w:val="none" w:sz="0" w:space="0" w:color="auto"/>
                                <w:bottom w:val="none" w:sz="0" w:space="0" w:color="auto"/>
                                <w:right w:val="none" w:sz="0" w:space="0" w:color="auto"/>
                              </w:divBdr>
                              <w:divsChild>
                                <w:div w:id="403920959">
                                  <w:marLeft w:val="0"/>
                                  <w:marRight w:val="0"/>
                                  <w:marTop w:val="0"/>
                                  <w:marBottom w:val="0"/>
                                  <w:divBdr>
                                    <w:top w:val="none" w:sz="0" w:space="0" w:color="auto"/>
                                    <w:left w:val="none" w:sz="0" w:space="0" w:color="auto"/>
                                    <w:bottom w:val="none" w:sz="0" w:space="0" w:color="auto"/>
                                    <w:right w:val="none" w:sz="0" w:space="0" w:color="auto"/>
                                  </w:divBdr>
                                </w:div>
                                <w:div w:id="927662714">
                                  <w:marLeft w:val="0"/>
                                  <w:marRight w:val="0"/>
                                  <w:marTop w:val="0"/>
                                  <w:marBottom w:val="0"/>
                                  <w:divBdr>
                                    <w:top w:val="none" w:sz="0" w:space="0" w:color="auto"/>
                                    <w:left w:val="none" w:sz="0" w:space="0" w:color="auto"/>
                                    <w:bottom w:val="none" w:sz="0" w:space="0" w:color="auto"/>
                                    <w:right w:val="none" w:sz="0" w:space="0" w:color="auto"/>
                                  </w:divBdr>
                                </w:div>
                                <w:div w:id="1014650994">
                                  <w:marLeft w:val="0"/>
                                  <w:marRight w:val="0"/>
                                  <w:marTop w:val="0"/>
                                  <w:marBottom w:val="0"/>
                                  <w:divBdr>
                                    <w:top w:val="none" w:sz="0" w:space="0" w:color="auto"/>
                                    <w:left w:val="none" w:sz="0" w:space="0" w:color="auto"/>
                                    <w:bottom w:val="none" w:sz="0" w:space="0" w:color="auto"/>
                                    <w:right w:val="none" w:sz="0" w:space="0" w:color="auto"/>
                                  </w:divBdr>
                                </w:div>
                              </w:divsChild>
                            </w:div>
                            <w:div w:id="1944610558">
                              <w:marLeft w:val="0"/>
                              <w:marRight w:val="0"/>
                              <w:marTop w:val="0"/>
                              <w:marBottom w:val="0"/>
                              <w:divBdr>
                                <w:top w:val="none" w:sz="0" w:space="0" w:color="auto"/>
                                <w:left w:val="none" w:sz="0" w:space="0" w:color="auto"/>
                                <w:bottom w:val="none" w:sz="0" w:space="0" w:color="auto"/>
                                <w:right w:val="none" w:sz="0" w:space="0" w:color="auto"/>
                              </w:divBdr>
                            </w:div>
                          </w:divsChild>
                        </w:div>
                        <w:div w:id="1276988293">
                          <w:marLeft w:val="0"/>
                          <w:marRight w:val="0"/>
                          <w:marTop w:val="0"/>
                          <w:marBottom w:val="0"/>
                          <w:divBdr>
                            <w:top w:val="none" w:sz="0" w:space="0" w:color="auto"/>
                            <w:left w:val="none" w:sz="0" w:space="0" w:color="auto"/>
                            <w:bottom w:val="none" w:sz="0" w:space="0" w:color="auto"/>
                            <w:right w:val="none" w:sz="0" w:space="0" w:color="auto"/>
                          </w:divBdr>
                        </w:div>
                        <w:div w:id="2007970779">
                          <w:marLeft w:val="0"/>
                          <w:marRight w:val="0"/>
                          <w:marTop w:val="0"/>
                          <w:marBottom w:val="0"/>
                          <w:divBdr>
                            <w:top w:val="none" w:sz="0" w:space="0" w:color="auto"/>
                            <w:left w:val="none" w:sz="0" w:space="0" w:color="auto"/>
                            <w:bottom w:val="none" w:sz="0" w:space="0" w:color="auto"/>
                            <w:right w:val="none" w:sz="0" w:space="0" w:color="auto"/>
                          </w:divBdr>
                        </w:div>
                        <w:div w:id="207018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0211956">
      <w:bodyDiv w:val="1"/>
      <w:marLeft w:val="0"/>
      <w:marRight w:val="0"/>
      <w:marTop w:val="0"/>
      <w:marBottom w:val="0"/>
      <w:divBdr>
        <w:top w:val="none" w:sz="0" w:space="0" w:color="auto"/>
        <w:left w:val="none" w:sz="0" w:space="0" w:color="auto"/>
        <w:bottom w:val="none" w:sz="0" w:space="0" w:color="auto"/>
        <w:right w:val="none" w:sz="0" w:space="0" w:color="auto"/>
      </w:divBdr>
    </w:div>
    <w:div w:id="1723476547">
      <w:bodyDiv w:val="1"/>
      <w:marLeft w:val="0"/>
      <w:marRight w:val="0"/>
      <w:marTop w:val="0"/>
      <w:marBottom w:val="0"/>
      <w:divBdr>
        <w:top w:val="none" w:sz="0" w:space="0" w:color="auto"/>
        <w:left w:val="none" w:sz="0" w:space="0" w:color="auto"/>
        <w:bottom w:val="none" w:sz="0" w:space="0" w:color="auto"/>
        <w:right w:val="none" w:sz="0" w:space="0" w:color="auto"/>
      </w:divBdr>
      <w:divsChild>
        <w:div w:id="806363491">
          <w:marLeft w:val="0"/>
          <w:marRight w:val="0"/>
          <w:marTop w:val="0"/>
          <w:marBottom w:val="0"/>
          <w:divBdr>
            <w:top w:val="none" w:sz="0" w:space="0" w:color="auto"/>
            <w:left w:val="none" w:sz="0" w:space="0" w:color="auto"/>
            <w:bottom w:val="none" w:sz="0" w:space="0" w:color="auto"/>
            <w:right w:val="none" w:sz="0" w:space="0" w:color="auto"/>
          </w:divBdr>
          <w:divsChild>
            <w:div w:id="1008681493">
              <w:marLeft w:val="0"/>
              <w:marRight w:val="0"/>
              <w:marTop w:val="0"/>
              <w:marBottom w:val="0"/>
              <w:divBdr>
                <w:top w:val="none" w:sz="0" w:space="0" w:color="auto"/>
                <w:left w:val="none" w:sz="0" w:space="0" w:color="auto"/>
                <w:bottom w:val="none" w:sz="0" w:space="0" w:color="auto"/>
                <w:right w:val="none" w:sz="0" w:space="0" w:color="auto"/>
              </w:divBdr>
              <w:divsChild>
                <w:div w:id="154419676">
                  <w:marLeft w:val="0"/>
                  <w:marRight w:val="0"/>
                  <w:marTop w:val="0"/>
                  <w:marBottom w:val="0"/>
                  <w:divBdr>
                    <w:top w:val="none" w:sz="0" w:space="0" w:color="auto"/>
                    <w:left w:val="none" w:sz="0" w:space="0" w:color="auto"/>
                    <w:bottom w:val="none" w:sz="0" w:space="0" w:color="auto"/>
                    <w:right w:val="none" w:sz="0" w:space="0" w:color="auto"/>
                  </w:divBdr>
                  <w:divsChild>
                    <w:div w:id="1736665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9830249">
          <w:marLeft w:val="0"/>
          <w:marRight w:val="0"/>
          <w:marTop w:val="0"/>
          <w:marBottom w:val="0"/>
          <w:divBdr>
            <w:top w:val="none" w:sz="0" w:space="0" w:color="auto"/>
            <w:left w:val="none" w:sz="0" w:space="0" w:color="auto"/>
            <w:bottom w:val="none" w:sz="0" w:space="0" w:color="auto"/>
            <w:right w:val="none" w:sz="0" w:space="0" w:color="auto"/>
          </w:divBdr>
          <w:divsChild>
            <w:div w:id="1679427486">
              <w:marLeft w:val="0"/>
              <w:marRight w:val="0"/>
              <w:marTop w:val="0"/>
              <w:marBottom w:val="0"/>
              <w:divBdr>
                <w:top w:val="none" w:sz="0" w:space="0" w:color="auto"/>
                <w:left w:val="none" w:sz="0" w:space="0" w:color="auto"/>
                <w:bottom w:val="none" w:sz="0" w:space="0" w:color="auto"/>
                <w:right w:val="none" w:sz="0" w:space="0" w:color="auto"/>
              </w:divBdr>
              <w:divsChild>
                <w:div w:id="1728869577">
                  <w:marLeft w:val="0"/>
                  <w:marRight w:val="0"/>
                  <w:marTop w:val="0"/>
                  <w:marBottom w:val="0"/>
                  <w:divBdr>
                    <w:top w:val="none" w:sz="0" w:space="0" w:color="auto"/>
                    <w:left w:val="none" w:sz="0" w:space="0" w:color="auto"/>
                    <w:bottom w:val="none" w:sz="0" w:space="0" w:color="auto"/>
                    <w:right w:val="none" w:sz="0" w:space="0" w:color="auto"/>
                  </w:divBdr>
                  <w:divsChild>
                    <w:div w:id="248271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3185375">
      <w:bodyDiv w:val="1"/>
      <w:marLeft w:val="0"/>
      <w:marRight w:val="0"/>
      <w:marTop w:val="0"/>
      <w:marBottom w:val="0"/>
      <w:divBdr>
        <w:top w:val="none" w:sz="0" w:space="0" w:color="auto"/>
        <w:left w:val="none" w:sz="0" w:space="0" w:color="auto"/>
        <w:bottom w:val="none" w:sz="0" w:space="0" w:color="auto"/>
        <w:right w:val="none" w:sz="0" w:space="0" w:color="auto"/>
      </w:divBdr>
    </w:div>
    <w:div w:id="1813670957">
      <w:bodyDiv w:val="1"/>
      <w:marLeft w:val="0"/>
      <w:marRight w:val="0"/>
      <w:marTop w:val="0"/>
      <w:marBottom w:val="0"/>
      <w:divBdr>
        <w:top w:val="none" w:sz="0" w:space="0" w:color="auto"/>
        <w:left w:val="none" w:sz="0" w:space="0" w:color="auto"/>
        <w:bottom w:val="none" w:sz="0" w:space="0" w:color="auto"/>
        <w:right w:val="none" w:sz="0" w:space="0" w:color="auto"/>
      </w:divBdr>
    </w:div>
    <w:div w:id="1862816865">
      <w:bodyDiv w:val="1"/>
      <w:marLeft w:val="0"/>
      <w:marRight w:val="0"/>
      <w:marTop w:val="0"/>
      <w:marBottom w:val="0"/>
      <w:divBdr>
        <w:top w:val="none" w:sz="0" w:space="0" w:color="auto"/>
        <w:left w:val="none" w:sz="0" w:space="0" w:color="auto"/>
        <w:bottom w:val="none" w:sz="0" w:space="0" w:color="auto"/>
        <w:right w:val="none" w:sz="0" w:space="0" w:color="auto"/>
      </w:divBdr>
    </w:div>
    <w:div w:id="1869446319">
      <w:bodyDiv w:val="1"/>
      <w:marLeft w:val="0"/>
      <w:marRight w:val="0"/>
      <w:marTop w:val="0"/>
      <w:marBottom w:val="0"/>
      <w:divBdr>
        <w:top w:val="none" w:sz="0" w:space="0" w:color="auto"/>
        <w:left w:val="none" w:sz="0" w:space="0" w:color="auto"/>
        <w:bottom w:val="none" w:sz="0" w:space="0" w:color="auto"/>
        <w:right w:val="none" w:sz="0" w:space="0" w:color="auto"/>
      </w:divBdr>
    </w:div>
    <w:div w:id="1900431818">
      <w:bodyDiv w:val="1"/>
      <w:marLeft w:val="0"/>
      <w:marRight w:val="0"/>
      <w:marTop w:val="0"/>
      <w:marBottom w:val="0"/>
      <w:divBdr>
        <w:top w:val="none" w:sz="0" w:space="0" w:color="auto"/>
        <w:left w:val="none" w:sz="0" w:space="0" w:color="auto"/>
        <w:bottom w:val="none" w:sz="0" w:space="0" w:color="auto"/>
        <w:right w:val="none" w:sz="0" w:space="0" w:color="auto"/>
      </w:divBdr>
    </w:div>
    <w:div w:id="1922712343">
      <w:bodyDiv w:val="1"/>
      <w:marLeft w:val="0"/>
      <w:marRight w:val="0"/>
      <w:marTop w:val="0"/>
      <w:marBottom w:val="0"/>
      <w:divBdr>
        <w:top w:val="none" w:sz="0" w:space="0" w:color="auto"/>
        <w:left w:val="none" w:sz="0" w:space="0" w:color="auto"/>
        <w:bottom w:val="none" w:sz="0" w:space="0" w:color="auto"/>
        <w:right w:val="none" w:sz="0" w:space="0" w:color="auto"/>
      </w:divBdr>
    </w:div>
    <w:div w:id="1930918821">
      <w:bodyDiv w:val="1"/>
      <w:marLeft w:val="0"/>
      <w:marRight w:val="0"/>
      <w:marTop w:val="0"/>
      <w:marBottom w:val="0"/>
      <w:divBdr>
        <w:top w:val="none" w:sz="0" w:space="0" w:color="auto"/>
        <w:left w:val="none" w:sz="0" w:space="0" w:color="auto"/>
        <w:bottom w:val="none" w:sz="0" w:space="0" w:color="auto"/>
        <w:right w:val="none" w:sz="0" w:space="0" w:color="auto"/>
      </w:divBdr>
    </w:div>
    <w:div w:id="1969703780">
      <w:bodyDiv w:val="1"/>
      <w:marLeft w:val="0"/>
      <w:marRight w:val="0"/>
      <w:marTop w:val="0"/>
      <w:marBottom w:val="0"/>
      <w:divBdr>
        <w:top w:val="none" w:sz="0" w:space="0" w:color="auto"/>
        <w:left w:val="none" w:sz="0" w:space="0" w:color="auto"/>
        <w:bottom w:val="none" w:sz="0" w:space="0" w:color="auto"/>
        <w:right w:val="none" w:sz="0" w:space="0" w:color="auto"/>
      </w:divBdr>
    </w:div>
    <w:div w:id="2024621523">
      <w:bodyDiv w:val="1"/>
      <w:marLeft w:val="0"/>
      <w:marRight w:val="0"/>
      <w:marTop w:val="0"/>
      <w:marBottom w:val="0"/>
      <w:divBdr>
        <w:top w:val="none" w:sz="0" w:space="0" w:color="auto"/>
        <w:left w:val="none" w:sz="0" w:space="0" w:color="auto"/>
        <w:bottom w:val="none" w:sz="0" w:space="0" w:color="auto"/>
        <w:right w:val="none" w:sz="0" w:space="0" w:color="auto"/>
      </w:divBdr>
    </w:div>
    <w:div w:id="2076080540">
      <w:bodyDiv w:val="1"/>
      <w:marLeft w:val="0"/>
      <w:marRight w:val="0"/>
      <w:marTop w:val="0"/>
      <w:marBottom w:val="0"/>
      <w:divBdr>
        <w:top w:val="none" w:sz="0" w:space="0" w:color="auto"/>
        <w:left w:val="none" w:sz="0" w:space="0" w:color="auto"/>
        <w:bottom w:val="none" w:sz="0" w:space="0" w:color="auto"/>
        <w:right w:val="none" w:sz="0" w:space="0" w:color="auto"/>
      </w:divBdr>
    </w:div>
    <w:div w:id="2091004461">
      <w:bodyDiv w:val="1"/>
      <w:marLeft w:val="0"/>
      <w:marRight w:val="0"/>
      <w:marTop w:val="0"/>
      <w:marBottom w:val="0"/>
      <w:divBdr>
        <w:top w:val="none" w:sz="0" w:space="0" w:color="auto"/>
        <w:left w:val="none" w:sz="0" w:space="0" w:color="auto"/>
        <w:bottom w:val="none" w:sz="0" w:space="0" w:color="auto"/>
        <w:right w:val="none" w:sz="0" w:space="0" w:color="auto"/>
      </w:divBdr>
      <w:divsChild>
        <w:div w:id="1159005851">
          <w:marLeft w:val="0"/>
          <w:marRight w:val="0"/>
          <w:marTop w:val="0"/>
          <w:marBottom w:val="0"/>
          <w:divBdr>
            <w:top w:val="none" w:sz="0" w:space="0" w:color="auto"/>
            <w:left w:val="none" w:sz="0" w:space="0" w:color="auto"/>
            <w:bottom w:val="none" w:sz="0" w:space="0" w:color="auto"/>
            <w:right w:val="none" w:sz="0" w:space="0" w:color="auto"/>
          </w:divBdr>
        </w:div>
        <w:div w:id="1651248377">
          <w:marLeft w:val="0"/>
          <w:marRight w:val="0"/>
          <w:marTop w:val="0"/>
          <w:marBottom w:val="0"/>
          <w:divBdr>
            <w:top w:val="none" w:sz="0" w:space="0" w:color="auto"/>
            <w:left w:val="none" w:sz="0" w:space="0" w:color="auto"/>
            <w:bottom w:val="none" w:sz="0" w:space="0" w:color="auto"/>
            <w:right w:val="none" w:sz="0" w:space="0" w:color="auto"/>
          </w:divBdr>
        </w:div>
      </w:divsChild>
    </w:div>
    <w:div w:id="2111120406">
      <w:bodyDiv w:val="1"/>
      <w:marLeft w:val="0"/>
      <w:marRight w:val="0"/>
      <w:marTop w:val="0"/>
      <w:marBottom w:val="0"/>
      <w:divBdr>
        <w:top w:val="none" w:sz="0" w:space="0" w:color="auto"/>
        <w:left w:val="none" w:sz="0" w:space="0" w:color="auto"/>
        <w:bottom w:val="none" w:sz="0" w:space="0" w:color="auto"/>
        <w:right w:val="none" w:sz="0" w:space="0" w:color="auto"/>
      </w:divBdr>
    </w:div>
    <w:div w:id="2111317536">
      <w:bodyDiv w:val="1"/>
      <w:marLeft w:val="0"/>
      <w:marRight w:val="0"/>
      <w:marTop w:val="0"/>
      <w:marBottom w:val="0"/>
      <w:divBdr>
        <w:top w:val="none" w:sz="0" w:space="0" w:color="auto"/>
        <w:left w:val="none" w:sz="0" w:space="0" w:color="auto"/>
        <w:bottom w:val="none" w:sz="0" w:space="0" w:color="auto"/>
        <w:right w:val="none" w:sz="0" w:space="0" w:color="auto"/>
      </w:divBdr>
    </w:div>
    <w:div w:id="2116820711">
      <w:bodyDiv w:val="1"/>
      <w:marLeft w:val="0"/>
      <w:marRight w:val="0"/>
      <w:marTop w:val="0"/>
      <w:marBottom w:val="0"/>
      <w:divBdr>
        <w:top w:val="none" w:sz="0" w:space="0" w:color="auto"/>
        <w:left w:val="none" w:sz="0" w:space="0" w:color="auto"/>
        <w:bottom w:val="none" w:sz="0" w:space="0" w:color="auto"/>
        <w:right w:val="none" w:sz="0" w:space="0" w:color="auto"/>
      </w:divBdr>
    </w:div>
    <w:div w:id="2117822282">
      <w:bodyDiv w:val="1"/>
      <w:marLeft w:val="0"/>
      <w:marRight w:val="0"/>
      <w:marTop w:val="0"/>
      <w:marBottom w:val="0"/>
      <w:divBdr>
        <w:top w:val="none" w:sz="0" w:space="0" w:color="auto"/>
        <w:left w:val="none" w:sz="0" w:space="0" w:color="auto"/>
        <w:bottom w:val="none" w:sz="0" w:space="0" w:color="auto"/>
        <w:right w:val="none" w:sz="0" w:space="0" w:color="auto"/>
      </w:divBdr>
      <w:divsChild>
        <w:div w:id="296031622">
          <w:marLeft w:val="0"/>
          <w:marRight w:val="0"/>
          <w:marTop w:val="0"/>
          <w:marBottom w:val="0"/>
          <w:divBdr>
            <w:top w:val="none" w:sz="0" w:space="0" w:color="auto"/>
            <w:left w:val="none" w:sz="0" w:space="0" w:color="auto"/>
            <w:bottom w:val="none" w:sz="0" w:space="0" w:color="auto"/>
            <w:right w:val="none" w:sz="0" w:space="0" w:color="auto"/>
          </w:divBdr>
        </w:div>
        <w:div w:id="937639997">
          <w:marLeft w:val="0"/>
          <w:marRight w:val="0"/>
          <w:marTop w:val="0"/>
          <w:marBottom w:val="0"/>
          <w:divBdr>
            <w:top w:val="none" w:sz="0" w:space="0" w:color="auto"/>
            <w:left w:val="none" w:sz="0" w:space="0" w:color="auto"/>
            <w:bottom w:val="none" w:sz="0" w:space="0" w:color="auto"/>
            <w:right w:val="none" w:sz="0" w:space="0" w:color="auto"/>
          </w:divBdr>
        </w:div>
        <w:div w:id="1217428957">
          <w:marLeft w:val="0"/>
          <w:marRight w:val="0"/>
          <w:marTop w:val="0"/>
          <w:marBottom w:val="0"/>
          <w:divBdr>
            <w:top w:val="none" w:sz="0" w:space="0" w:color="auto"/>
            <w:left w:val="none" w:sz="0" w:space="0" w:color="auto"/>
            <w:bottom w:val="none" w:sz="0" w:space="0" w:color="auto"/>
            <w:right w:val="none" w:sz="0" w:space="0" w:color="auto"/>
          </w:divBdr>
        </w:div>
        <w:div w:id="1869027037">
          <w:marLeft w:val="0"/>
          <w:marRight w:val="0"/>
          <w:marTop w:val="0"/>
          <w:marBottom w:val="0"/>
          <w:divBdr>
            <w:top w:val="none" w:sz="0" w:space="0" w:color="auto"/>
            <w:left w:val="none" w:sz="0" w:space="0" w:color="auto"/>
            <w:bottom w:val="none" w:sz="0" w:space="0" w:color="auto"/>
            <w:right w:val="none" w:sz="0" w:space="0" w:color="auto"/>
          </w:divBdr>
        </w:div>
      </w:divsChild>
    </w:div>
    <w:div w:id="2140680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legifrance.gouv.fr/codes/id/LEGISCTA000006161274?utm_source=chatgpt.com" TargetMode="External"/><Relationship Id="rId21" Type="http://schemas.openxmlformats.org/officeDocument/2006/relationships/hyperlink" Target="https://www.legifrance.gouv.fr/codes/article_lc/LEGIARTI000042339701?utm_source=chatgpt.com" TargetMode="External"/><Relationship Id="rId42" Type="http://schemas.openxmlformats.org/officeDocument/2006/relationships/hyperlink" Target="https://www.legifrance.gouv.fr/codes/article_lc/LEGIARTI000029329451?utm_source=chatgpt.com" TargetMode="External"/><Relationship Id="rId47" Type="http://schemas.openxmlformats.org/officeDocument/2006/relationships/hyperlink" Target="https://www.legifrance.gouv.fr/codes/id/LEGISCTA000006178762/?utm_source=chatgpt.com" TargetMode="External"/><Relationship Id="rId63" Type="http://schemas.openxmlformats.org/officeDocument/2006/relationships/hyperlink" Target="https://www.legifrance.gouv.fr/codes/article_lc/LEGIARTI000038612729" TargetMode="External"/><Relationship Id="rId68" Type="http://schemas.openxmlformats.org/officeDocument/2006/relationships/hyperlink" Target="https://www.legifrance.gouv.fr/codes/article_lc/LEGIARTI000029329451" TargetMode="External"/><Relationship Id="rId2" Type="http://schemas.openxmlformats.org/officeDocument/2006/relationships/styles" Target="styles.xml"/><Relationship Id="rId16" Type="http://schemas.openxmlformats.org/officeDocument/2006/relationships/hyperlink" Target="https://www.legifrance.gouv.fr/codes/article_lc/LEGIARTI000042339726?utm_source=chatgpt.com" TargetMode="External"/><Relationship Id="rId29" Type="http://schemas.openxmlformats.org/officeDocument/2006/relationships/hyperlink" Target="https://www.legifrance.gouv.fr/codes/article_lc/LEGIARTI000006260591?utm_source=chatgpt.com" TargetMode="External"/><Relationship Id="rId11" Type="http://schemas.openxmlformats.org/officeDocument/2006/relationships/hyperlink" Target="https://www.legifrance.gouv.fr/codes/id/LEGISCTA000006178762/?utm_source=chatgpt.com" TargetMode="External"/><Relationship Id="rId24" Type="http://schemas.openxmlformats.org/officeDocument/2006/relationships/hyperlink" Target="https://www.legifrance.gouv.fr/codes/article_lc/LEGIARTI000049720022?utm_source=chatgpt.com" TargetMode="External"/><Relationship Id="rId32" Type="http://schemas.openxmlformats.org/officeDocument/2006/relationships/hyperlink" Target="https://entreprendre.service-public.fr/vosdroits/F36700" TargetMode="External"/><Relationship Id="rId37" Type="http://schemas.openxmlformats.org/officeDocument/2006/relationships/hyperlink" Target="https://www.legifrance.gouv.fr/codes/article_lc/LEGIARTI000048539451" TargetMode="External"/><Relationship Id="rId40" Type="http://schemas.openxmlformats.org/officeDocument/2006/relationships/hyperlink" Target="https://www.legifrance.gouv.fr/codes/id/LEGIARTI000051322734/2025-10-01?utm_source=chatgpt.com" TargetMode="External"/><Relationship Id="rId45" Type="http://schemas.openxmlformats.org/officeDocument/2006/relationships/hyperlink" Target="https://www.legifrance.gouv.fr/codes/section_lc/LEGITEXT000005634379/LEGISCTA000006161287/?utm_source=chatgpt.com" TargetMode="External"/><Relationship Id="rId53" Type="http://schemas.openxmlformats.org/officeDocument/2006/relationships/hyperlink" Target="https://www.legifrance.gouv.fr/codes/article_lc/LEGIARTI000029329359" TargetMode="External"/><Relationship Id="rId58" Type="http://schemas.openxmlformats.org/officeDocument/2006/relationships/hyperlink" Target="https://www.legifrance.gouv.fr/codes/article_lc/LEGIARTI000006223287" TargetMode="External"/><Relationship Id="rId66" Type="http://schemas.openxmlformats.org/officeDocument/2006/relationships/hyperlink" Target="https://www.legifrance.gouv.fr/codes/article_lc/LEGIARTI000048539451" TargetMode="External"/><Relationship Id="rId74" Type="http://schemas.openxmlformats.org/officeDocument/2006/relationships/footer" Target="footer1.xml"/><Relationship Id="rId5" Type="http://schemas.openxmlformats.org/officeDocument/2006/relationships/footnotes" Target="footnotes.xml"/><Relationship Id="rId61" Type="http://schemas.openxmlformats.org/officeDocument/2006/relationships/hyperlink" Target="https://www.legifrance.gouv.fr/codes/id/LEGISCTA000006178906" TargetMode="External"/><Relationship Id="rId19" Type="http://schemas.openxmlformats.org/officeDocument/2006/relationships/hyperlink" Target="https://www.legifrance.gouv.fr/codes/article_lc/LEGIARTI000029329359?utm_source=chatgpt.com" TargetMode="External"/><Relationship Id="rId14" Type="http://schemas.openxmlformats.org/officeDocument/2006/relationships/hyperlink" Target="https://www.legifrance.gouv.fr/codes/article_lc/LEGIARTI000033613910?utm_source=chatgpt.com" TargetMode="External"/><Relationship Id="rId22" Type="http://schemas.openxmlformats.org/officeDocument/2006/relationships/hyperlink" Target="https://www.legifrance.gouv.fr/codes/article_lc/LEGIARTI000029329359?utm_source=chatgpt.com" TargetMode="External"/><Relationship Id="rId27" Type="http://schemas.openxmlformats.org/officeDocument/2006/relationships/hyperlink" Target="https://www.legifrance.gouv.fr/codes/section_lc/LEGITEXT000005634379/LEGISCTA000006146044/?utm_source=chatgpt.com" TargetMode="External"/><Relationship Id="rId30" Type="http://schemas.openxmlformats.org/officeDocument/2006/relationships/hyperlink" Target="https://entreprendre.service-public.fr/vosdroits/F36700" TargetMode="External"/><Relationship Id="rId35" Type="http://schemas.openxmlformats.org/officeDocument/2006/relationships/hyperlink" Target="https://www.legifrance.gouv.fr/codes/article_lc/LEGIARTI000029329451?utm_source=chatgpt.com" TargetMode="External"/><Relationship Id="rId43" Type="http://schemas.openxmlformats.org/officeDocument/2006/relationships/hyperlink" Target="https://www.legifrance.gouv.fr/codes/section_lc/LEGITEXT000005634379/LEGISCTA000006146049/2018-11-25/?utm_source=chatgpt.com" TargetMode="External"/><Relationship Id="rId48" Type="http://schemas.openxmlformats.org/officeDocument/2006/relationships/hyperlink" Target="https://entreprendre.service-public.fr/vosdroits/F36700" TargetMode="External"/><Relationship Id="rId56" Type="http://schemas.openxmlformats.org/officeDocument/2006/relationships/hyperlink" Target="https://www.legifrance.gouv.fr/codes/article_lc/LEGIARTI000025559543" TargetMode="External"/><Relationship Id="rId64" Type="http://schemas.openxmlformats.org/officeDocument/2006/relationships/hyperlink" Target="https://www.legifrance.gouv.fr/codes/article_lc/LEGIARTI000006654266" TargetMode="External"/><Relationship Id="rId69" Type="http://schemas.openxmlformats.org/officeDocument/2006/relationships/hyperlink" Target="https://www.legifrance.gouv.fr/codes/article_lc/LEGIARTI000039260280" TargetMode="External"/><Relationship Id="rId8" Type="http://schemas.openxmlformats.org/officeDocument/2006/relationships/hyperlink" Target="https://www.legifrance.gouv.fr/codes/article_lc/LEGIARTI000029329451?utm_source=chatgpt.com" TargetMode="External"/><Relationship Id="rId51" Type="http://schemas.openxmlformats.org/officeDocument/2006/relationships/hyperlink" Target="https://www.legifrance.gouv.fr/codes/section_lc/LEGITEXT000005634379/LEGISCTA000006178762/" TargetMode="External"/><Relationship Id="rId72" Type="http://schemas.openxmlformats.org/officeDocument/2006/relationships/hyperlink" Target="https://www.legifrance.gouv.fr/codes/article_lc/LEGIARTI000047590401" TargetMode="External"/><Relationship Id="rId3" Type="http://schemas.openxmlformats.org/officeDocument/2006/relationships/settings" Target="settings.xml"/><Relationship Id="rId12" Type="http://schemas.openxmlformats.org/officeDocument/2006/relationships/hyperlink" Target="https://www.legifrance.gouv.fr/codes/article_lc/LEGIARTI000025559543?utm_source=chatgpt.com" TargetMode="External"/><Relationship Id="rId17" Type="http://schemas.openxmlformats.org/officeDocument/2006/relationships/hyperlink" Target="https://www.legifrance.gouv.fr/codes/id/LEGISCTA000006146046?utm_source=chatgpt.com" TargetMode="External"/><Relationship Id="rId25" Type="http://schemas.openxmlformats.org/officeDocument/2006/relationships/hyperlink" Target="https://www.legifrance.gouv.fr/codes/article_lc/LEGIARTI000038612729?utm_source=chatgpt.com" TargetMode="External"/><Relationship Id="rId33" Type="http://schemas.openxmlformats.org/officeDocument/2006/relationships/hyperlink" Target="https://entreprendre.service-public.fr/vosdroits/F36700" TargetMode="External"/><Relationship Id="rId38" Type="http://schemas.openxmlformats.org/officeDocument/2006/relationships/hyperlink" Target="https://www.legifrance.gouv.fr/codes/article_lc/LEGIARTI000048539451" TargetMode="External"/><Relationship Id="rId46" Type="http://schemas.openxmlformats.org/officeDocument/2006/relationships/hyperlink" Target="https://www.legifrance.gouv.fr/codes/id/LEGISCTA000006178841?utm_source=chatgpt.com" TargetMode="External"/><Relationship Id="rId59" Type="http://schemas.openxmlformats.org/officeDocument/2006/relationships/hyperlink" Target="https://www.legifrance.gouv.fr/codes/article_lc/LEGIARTI000006260591" TargetMode="External"/><Relationship Id="rId67" Type="http://schemas.openxmlformats.org/officeDocument/2006/relationships/hyperlink" Target="https://www.legifrance.gouv.fr/codes/article_lc/LEGIARTI000034799356" TargetMode="External"/><Relationship Id="rId20" Type="http://schemas.openxmlformats.org/officeDocument/2006/relationships/hyperlink" Target="https://www.legifrance.gouv.fr/codes/article_lc/LEGIARTI000029329359?utm_source=chatgpt.com" TargetMode="External"/><Relationship Id="rId41" Type="http://schemas.openxmlformats.org/officeDocument/2006/relationships/hyperlink" Target="https://www.legifrance.gouv.fr/codes/article_lc/LEGIARTI000039260280" TargetMode="External"/><Relationship Id="rId54" Type="http://schemas.openxmlformats.org/officeDocument/2006/relationships/hyperlink" Target="https://www.legifrance.gouv.fr/codes/article_lc/LEGIARTI000042339695" TargetMode="External"/><Relationship Id="rId62" Type="http://schemas.openxmlformats.org/officeDocument/2006/relationships/hyperlink" Target="https://www.legifrance.gouv.fr/codes/article_lc/LEGIARTI000049720022" TargetMode="External"/><Relationship Id="rId70" Type="http://schemas.openxmlformats.org/officeDocument/2006/relationships/hyperlink" Target="https://entreprendre.service-public.gouv.fr/vosdroits/F36700" TargetMode="External"/><Relationship Id="rId75"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legifrance.gouv.fr/codes/article_lc/LEGIARTI000042339726?utm_source=chatgpt.com" TargetMode="External"/><Relationship Id="rId23" Type="http://schemas.openxmlformats.org/officeDocument/2006/relationships/hyperlink" Target="https://www.legifrance.gouv.fr/codes/section_lc/LEGITEXT000005634379/LEGISCTA000006146049/?utm_source=chatgpt.com" TargetMode="External"/><Relationship Id="rId28" Type="http://schemas.openxmlformats.org/officeDocument/2006/relationships/hyperlink" Target="https://www.legifrance.gouv.fr/codes/id/LEGISCTA000006178841?utm_source=chatgpt.com" TargetMode="External"/><Relationship Id="rId36" Type="http://schemas.openxmlformats.org/officeDocument/2006/relationships/hyperlink" Target="https://www.legifrance.gouv.fr/codes/article_lc/LEGIARTI000048539451" TargetMode="External"/><Relationship Id="rId49" Type="http://schemas.openxmlformats.org/officeDocument/2006/relationships/hyperlink" Target="https://www.legifrance.gouv.fr/codes/article_lc/LEGIARTI000049720022?utm_source=chatgpt.com" TargetMode="External"/><Relationship Id="rId57" Type="http://schemas.openxmlformats.org/officeDocument/2006/relationships/hyperlink" Target="https://www.legifrance.gouv.fr/codes/article_lc/LEGIARTI000033613910" TargetMode="External"/><Relationship Id="rId10" Type="http://schemas.openxmlformats.org/officeDocument/2006/relationships/hyperlink" Target="https://www.legifrance.gouv.fr/codes/id/LEGISCTA000006146046?utm_source=chatgpt.com" TargetMode="External"/><Relationship Id="rId31" Type="http://schemas.openxmlformats.org/officeDocument/2006/relationships/hyperlink" Target="https://entreprendre.service-public.fr/vosdroits/F36700" TargetMode="External"/><Relationship Id="rId44" Type="http://schemas.openxmlformats.org/officeDocument/2006/relationships/hyperlink" Target="https://entreprendre.service-public.fr/vosdroits/F32966?utm_source=chatgpt.com" TargetMode="External"/><Relationship Id="rId52" Type="http://schemas.openxmlformats.org/officeDocument/2006/relationships/hyperlink" Target="https://www.legifrance.gouv.fr/codes/article_lc/LEGIARTI000042339726" TargetMode="External"/><Relationship Id="rId60" Type="http://schemas.openxmlformats.org/officeDocument/2006/relationships/hyperlink" Target="https://www.legifrance.gouv.fr/codes/id/LEGISCTA000006178841" TargetMode="External"/><Relationship Id="rId65" Type="http://schemas.openxmlformats.org/officeDocument/2006/relationships/hyperlink" Target="https://www.legifrance.gouv.fr/codes/section_lc/LEGITEXT000005634379/LEGISCTA000006161285/" TargetMode="External"/><Relationship Id="rId73" Type="http://schemas.openxmlformats.org/officeDocument/2006/relationships/hyperlink" Target="https://entreprendre.service-public.gouv.fr/vosdroits/F32966" TargetMode="External"/><Relationship Id="rId4" Type="http://schemas.openxmlformats.org/officeDocument/2006/relationships/webSettings" Target="webSettings.xml"/><Relationship Id="rId9" Type="http://schemas.openxmlformats.org/officeDocument/2006/relationships/hyperlink" Target="https://www.legifrance.gouv.fr/codes/id/LEGISCTA000006178762/?utm_source=chatgpt.com" TargetMode="External"/><Relationship Id="rId13" Type="http://schemas.openxmlformats.org/officeDocument/2006/relationships/hyperlink" Target="https://www.legifrance.gouv.fr/codes/id/LEGISCTA000006146046?utm_source=chatgpt.com" TargetMode="External"/><Relationship Id="rId18" Type="http://schemas.openxmlformats.org/officeDocument/2006/relationships/hyperlink" Target="https://www.legifrance.gouv.fr/codes/article_lc/LEGIARTI000042339695?utm_source=chatgpt.com" TargetMode="External"/><Relationship Id="rId39" Type="http://schemas.openxmlformats.org/officeDocument/2006/relationships/hyperlink" Target="https://www.legifrance.gouv.fr/codes/article_lc/LEGIARTI000034799356?utm_source=chatgpt.com" TargetMode="External"/><Relationship Id="rId34" Type="http://schemas.openxmlformats.org/officeDocument/2006/relationships/hyperlink" Target="https://entreprendre.service-public.fr/vosdroits/F36700" TargetMode="External"/><Relationship Id="rId50" Type="http://schemas.openxmlformats.org/officeDocument/2006/relationships/hyperlink" Target="https://www.legifrance.gouv.fr/codes/section_lc/LEGITEXT000005634379/LEGISCTA000006178762/" TargetMode="External"/><Relationship Id="rId55" Type="http://schemas.openxmlformats.org/officeDocument/2006/relationships/hyperlink" Target="https://www.legifrance.gouv.fr/codes/article_lc/LEGIARTI000038799345" TargetMode="External"/><Relationship Id="rId76" Type="http://schemas.openxmlformats.org/officeDocument/2006/relationships/theme" Target="theme/theme1.xml"/><Relationship Id="rId7" Type="http://schemas.openxmlformats.org/officeDocument/2006/relationships/hyperlink" Target="https://entreprendre.service-public.fr/vosdroits/F32966?utm_source=chatgpt.com" TargetMode="External"/><Relationship Id="rId71" Type="http://schemas.openxmlformats.org/officeDocument/2006/relationships/hyperlink" Target="https://www.legifrance.gouv.fr/codes/article_lc/LEGIARTI000047590393"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18</Pages>
  <Words>6315</Words>
  <Characters>34736</Characters>
  <Application>Microsoft Office Word</Application>
  <DocSecurity>0</DocSecurity>
  <Lines>289</Lines>
  <Paragraphs>81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40970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Georges Cherry</dc:creator>
  <cp:keywords/>
  <dc:description/>
  <cp:lastModifiedBy>Georges Cherry</cp:lastModifiedBy>
  <cp:revision>3</cp:revision>
  <cp:lastPrinted>2024-10-21T07:08:00Z</cp:lastPrinted>
  <dcterms:created xsi:type="dcterms:W3CDTF">2026-08-12T11:57:00Z</dcterms:created>
  <dcterms:modified xsi:type="dcterms:W3CDTF">2026-08-12T12:06:00Z</dcterms:modified>
</cp:coreProperties>
</file>