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D45BA" w14:textId="61B166D0" w:rsidR="00CB2AEA" w:rsidRPr="00CB2AEA" w:rsidRDefault="00CB2AEA" w:rsidP="00CB2AEA">
      <w:pPr>
        <w:pStyle w:val="Titre1"/>
      </w:pPr>
      <w:r w:rsidRPr="00CB2AEA">
        <w:t xml:space="preserve">FICHE 3 </w:t>
      </w:r>
      <w:r>
        <w:t>-</w:t>
      </w:r>
      <w:r w:rsidRPr="00CB2AEA">
        <w:t xml:space="preserve"> LES SOURCES DU DROIT SOCIAL ET LA NÉGOCIATION COLLECTIVE</w:t>
      </w:r>
    </w:p>
    <w:p w14:paraId="0698936A" w14:textId="77777777" w:rsidR="00CB2AEA" w:rsidRPr="00CB2AEA" w:rsidRDefault="00CB2AEA" w:rsidP="00CB2AEA">
      <w:pPr>
        <w:spacing w:after="0" w:line="240" w:lineRule="auto"/>
      </w:pPr>
      <w:r w:rsidRPr="00CB2AEA">
        <w:t xml:space="preserve">Le droit social se caractérise par la </w:t>
      </w:r>
      <w:r w:rsidRPr="00CB2AEA">
        <w:rPr>
          <w:b/>
          <w:bCs/>
        </w:rPr>
        <w:t>multiplicité de ses sources</w:t>
      </w:r>
      <w:r w:rsidRPr="00CB2AEA">
        <w:t>. Une même relation de travail peut être régie simultanément par la loi, une convention collective de branche, un accord d’entreprise, le règlement intérieur, un usage, un engagement unilatéral de l’employeur et le contrat de travail.</w:t>
      </w:r>
    </w:p>
    <w:p w14:paraId="265C0EBF" w14:textId="72D4232F" w:rsidR="00CB2AEA" w:rsidRPr="00CB2AEA" w:rsidRDefault="00CB2AEA" w:rsidP="00CB2AEA">
      <w:pPr>
        <w:spacing w:after="0" w:line="240" w:lineRule="auto"/>
      </w:pPr>
      <w:r w:rsidRPr="00CB2AEA">
        <w:t>Il ne suffit donc pas d’identifier les règles existantes</w:t>
      </w:r>
      <w:r>
        <w:t> :</w:t>
      </w:r>
      <w:r w:rsidRPr="00CB2AEA">
        <w:t xml:space="preserve"> il faut déterminer </w:t>
      </w:r>
      <w:r w:rsidRPr="00CB2AEA">
        <w:rPr>
          <w:b/>
          <w:bCs/>
        </w:rPr>
        <w:t>quelle règle est applicable à la situation</w:t>
      </w:r>
      <w:r w:rsidRPr="00CB2AEA">
        <w:t>. L’articulation actuelle des normes sociales ne peut plus être résumée par une simple pyramide dans laquelle la norme la plus favorable au salarié s’appliquerait toujours. Le référentiel 2026 exige précisément de savoir identifier les sources professionnelles, vérifier leur validité et résoudre leurs conflits.</w:t>
      </w:r>
    </w:p>
    <w:p w14:paraId="34AE7990" w14:textId="77777777" w:rsidR="00CB2AEA" w:rsidRPr="00CB2AEA" w:rsidRDefault="00CB2AEA" w:rsidP="00CB2AEA">
      <w:pPr>
        <w:pStyle w:val="Titre1"/>
      </w:pPr>
      <w:r w:rsidRPr="00CB2AEA">
        <w:t>1. Les différentes sources du droit social</w:t>
      </w:r>
    </w:p>
    <w:p w14:paraId="247A5F25" w14:textId="77777777" w:rsidR="00CB2AEA" w:rsidRPr="00CB2AEA" w:rsidRDefault="00CB2AEA" w:rsidP="00CB2AEA">
      <w:pPr>
        <w:spacing w:after="0" w:line="240" w:lineRule="auto"/>
        <w:rPr>
          <w:b/>
          <w:bCs/>
        </w:rPr>
      </w:pPr>
      <w:r w:rsidRPr="00CB2AEA">
        <w:rPr>
          <w:b/>
          <w:bCs/>
        </w:rPr>
        <w:t>1.1. Les sources internationales et européennes</w:t>
      </w:r>
    </w:p>
    <w:tbl>
      <w:tblPr>
        <w:tblStyle w:val="Grilledutableau"/>
        <w:tblW w:w="0" w:type="auto"/>
        <w:tblLook w:val="04A0" w:firstRow="1" w:lastRow="0" w:firstColumn="1" w:lastColumn="0" w:noHBand="0" w:noVBand="1"/>
      </w:tblPr>
      <w:tblGrid>
        <w:gridCol w:w="3872"/>
        <w:gridCol w:w="6584"/>
      </w:tblGrid>
      <w:tr w:rsidR="00CB2AEA" w:rsidRPr="00CB2AEA" w14:paraId="46B9E084" w14:textId="77777777" w:rsidTr="00CB2AEA">
        <w:trPr>
          <w:tblHeader/>
        </w:trPr>
        <w:tc>
          <w:tcPr>
            <w:tcW w:w="0" w:type="auto"/>
            <w:hideMark/>
          </w:tcPr>
          <w:p w14:paraId="05A0D7C3"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Source</w:t>
            </w:r>
          </w:p>
        </w:tc>
        <w:tc>
          <w:tcPr>
            <w:tcW w:w="0" w:type="auto"/>
            <w:hideMark/>
          </w:tcPr>
          <w:p w14:paraId="06821059"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Rôle</w:t>
            </w:r>
          </w:p>
        </w:tc>
      </w:tr>
      <w:tr w:rsidR="00CB2AEA" w:rsidRPr="00CB2AEA" w14:paraId="0AC1CEDC" w14:textId="77777777" w:rsidTr="00CB2AEA">
        <w:tc>
          <w:tcPr>
            <w:tcW w:w="0" w:type="auto"/>
            <w:hideMark/>
          </w:tcPr>
          <w:p w14:paraId="63E6F04B" w14:textId="77777777" w:rsidR="00CB2AEA" w:rsidRPr="00CB2AEA" w:rsidRDefault="00CB2AEA" w:rsidP="00CB2AEA">
            <w:pPr>
              <w:jc w:val="left"/>
              <w:rPr>
                <w:rFonts w:ascii="Calibri" w:hAnsi="Calibri" w:cs="Calibri"/>
                <w:sz w:val="20"/>
              </w:rPr>
            </w:pPr>
            <w:r w:rsidRPr="00CB2AEA">
              <w:rPr>
                <w:rFonts w:ascii="Calibri" w:hAnsi="Calibri" w:cs="Calibri"/>
                <w:b/>
                <w:bCs/>
                <w:sz w:val="20"/>
              </w:rPr>
              <w:t>Conventions de l’Organisation internationale du travail (OIT)</w:t>
            </w:r>
          </w:p>
        </w:tc>
        <w:tc>
          <w:tcPr>
            <w:tcW w:w="0" w:type="auto"/>
            <w:hideMark/>
          </w:tcPr>
          <w:p w14:paraId="2D9D6894" w14:textId="77777777" w:rsidR="00CB2AEA" w:rsidRPr="00CB2AEA" w:rsidRDefault="00CB2AEA" w:rsidP="00CB2AEA">
            <w:pPr>
              <w:jc w:val="left"/>
              <w:rPr>
                <w:rFonts w:ascii="Calibri" w:hAnsi="Calibri" w:cs="Calibri"/>
                <w:sz w:val="20"/>
              </w:rPr>
            </w:pPr>
            <w:r w:rsidRPr="00CB2AEA">
              <w:rPr>
                <w:rFonts w:ascii="Calibri" w:hAnsi="Calibri" w:cs="Calibri"/>
                <w:sz w:val="20"/>
              </w:rPr>
              <w:t>Fixent des normes internationales relatives notamment aux libertés syndicales, à l’emploi et aux conditions de travail</w:t>
            </w:r>
          </w:p>
        </w:tc>
      </w:tr>
      <w:tr w:rsidR="00CB2AEA" w:rsidRPr="00CB2AEA" w14:paraId="35ED3F9A" w14:textId="77777777" w:rsidTr="00CB2AEA">
        <w:tc>
          <w:tcPr>
            <w:tcW w:w="0" w:type="auto"/>
            <w:hideMark/>
          </w:tcPr>
          <w:p w14:paraId="48298046" w14:textId="77777777" w:rsidR="00CB2AEA" w:rsidRPr="00CB2AEA" w:rsidRDefault="00CB2AEA" w:rsidP="00CB2AEA">
            <w:pPr>
              <w:jc w:val="left"/>
              <w:rPr>
                <w:rFonts w:ascii="Calibri" w:hAnsi="Calibri" w:cs="Calibri"/>
                <w:sz w:val="20"/>
              </w:rPr>
            </w:pPr>
            <w:r w:rsidRPr="00CB2AEA">
              <w:rPr>
                <w:rFonts w:ascii="Calibri" w:hAnsi="Calibri" w:cs="Calibri"/>
                <w:b/>
                <w:bCs/>
                <w:sz w:val="20"/>
              </w:rPr>
              <w:t>Convention européenne des droits de l’homme (CEDH)</w:t>
            </w:r>
          </w:p>
        </w:tc>
        <w:tc>
          <w:tcPr>
            <w:tcW w:w="0" w:type="auto"/>
            <w:hideMark/>
          </w:tcPr>
          <w:p w14:paraId="7B2AD9AA" w14:textId="77777777" w:rsidR="00CB2AEA" w:rsidRPr="00CB2AEA" w:rsidRDefault="00CB2AEA" w:rsidP="00CB2AEA">
            <w:pPr>
              <w:jc w:val="left"/>
              <w:rPr>
                <w:rFonts w:ascii="Calibri" w:hAnsi="Calibri" w:cs="Calibri"/>
                <w:sz w:val="20"/>
              </w:rPr>
            </w:pPr>
            <w:r w:rsidRPr="00CB2AEA">
              <w:rPr>
                <w:rFonts w:ascii="Calibri" w:hAnsi="Calibri" w:cs="Calibri"/>
                <w:sz w:val="20"/>
              </w:rPr>
              <w:t>Protège notamment la vie privée, la liberté d’expression et la liberté syndicale</w:t>
            </w:r>
          </w:p>
        </w:tc>
      </w:tr>
      <w:tr w:rsidR="00CB2AEA" w:rsidRPr="00CB2AEA" w14:paraId="1EB2909F" w14:textId="77777777" w:rsidTr="00CB2AEA">
        <w:tc>
          <w:tcPr>
            <w:tcW w:w="0" w:type="auto"/>
            <w:hideMark/>
          </w:tcPr>
          <w:p w14:paraId="69ADBFB3" w14:textId="77777777" w:rsidR="00CB2AEA" w:rsidRPr="00CB2AEA" w:rsidRDefault="00CB2AEA" w:rsidP="00CB2AEA">
            <w:pPr>
              <w:jc w:val="left"/>
              <w:rPr>
                <w:rFonts w:ascii="Calibri" w:hAnsi="Calibri" w:cs="Calibri"/>
                <w:sz w:val="20"/>
              </w:rPr>
            </w:pPr>
            <w:r w:rsidRPr="00CB2AEA">
              <w:rPr>
                <w:rFonts w:ascii="Calibri" w:hAnsi="Calibri" w:cs="Calibri"/>
                <w:b/>
                <w:bCs/>
                <w:sz w:val="20"/>
              </w:rPr>
              <w:t>Droit de l’Union européenne</w:t>
            </w:r>
          </w:p>
        </w:tc>
        <w:tc>
          <w:tcPr>
            <w:tcW w:w="0" w:type="auto"/>
            <w:hideMark/>
          </w:tcPr>
          <w:p w14:paraId="49A01E2D" w14:textId="4B5FD275" w:rsidR="00CB2AEA" w:rsidRPr="00CB2AEA" w:rsidRDefault="00CB2AEA" w:rsidP="00CB2AEA">
            <w:pPr>
              <w:jc w:val="left"/>
              <w:rPr>
                <w:rFonts w:ascii="Calibri" w:hAnsi="Calibri" w:cs="Calibri"/>
                <w:sz w:val="20"/>
              </w:rPr>
            </w:pPr>
            <w:r w:rsidRPr="00CB2AEA">
              <w:rPr>
                <w:rFonts w:ascii="Calibri" w:hAnsi="Calibri" w:cs="Calibri"/>
                <w:sz w:val="20"/>
              </w:rPr>
              <w:t>Influence directement de nombreuses règles sociales</w:t>
            </w:r>
            <w:r w:rsidRPr="00CB2AEA">
              <w:rPr>
                <w:rFonts w:ascii="Calibri" w:hAnsi="Calibri" w:cs="Calibri"/>
                <w:sz w:val="20"/>
              </w:rPr>
              <w:t> :</w:t>
            </w:r>
            <w:r w:rsidRPr="00CB2AEA">
              <w:rPr>
                <w:rFonts w:ascii="Calibri" w:hAnsi="Calibri" w:cs="Calibri"/>
                <w:sz w:val="20"/>
              </w:rPr>
              <w:t xml:space="preserve"> égalité, temps de travail, santé et sécurité, information des salariés…</w:t>
            </w:r>
          </w:p>
        </w:tc>
      </w:tr>
      <w:tr w:rsidR="00CB2AEA" w:rsidRPr="00CB2AEA" w14:paraId="4F24446B" w14:textId="77777777" w:rsidTr="00CB2AEA">
        <w:tc>
          <w:tcPr>
            <w:tcW w:w="0" w:type="auto"/>
            <w:hideMark/>
          </w:tcPr>
          <w:p w14:paraId="4362E94C" w14:textId="77777777" w:rsidR="00CB2AEA" w:rsidRPr="00CB2AEA" w:rsidRDefault="00CB2AEA" w:rsidP="00CB2AEA">
            <w:pPr>
              <w:jc w:val="left"/>
              <w:rPr>
                <w:rFonts w:ascii="Calibri" w:hAnsi="Calibri" w:cs="Calibri"/>
                <w:sz w:val="20"/>
              </w:rPr>
            </w:pPr>
            <w:r w:rsidRPr="00CB2AEA">
              <w:rPr>
                <w:rFonts w:ascii="Calibri" w:hAnsi="Calibri" w:cs="Calibri"/>
                <w:b/>
                <w:bCs/>
                <w:sz w:val="20"/>
              </w:rPr>
              <w:t>Règlement européen</w:t>
            </w:r>
          </w:p>
        </w:tc>
        <w:tc>
          <w:tcPr>
            <w:tcW w:w="0" w:type="auto"/>
            <w:hideMark/>
          </w:tcPr>
          <w:p w14:paraId="449CD1AA" w14:textId="77777777" w:rsidR="00CB2AEA" w:rsidRPr="00CB2AEA" w:rsidRDefault="00CB2AEA" w:rsidP="00CB2AEA">
            <w:pPr>
              <w:jc w:val="left"/>
              <w:rPr>
                <w:rFonts w:ascii="Calibri" w:hAnsi="Calibri" w:cs="Calibri"/>
                <w:sz w:val="20"/>
              </w:rPr>
            </w:pPr>
            <w:r w:rsidRPr="00CB2AEA">
              <w:rPr>
                <w:rFonts w:ascii="Calibri" w:hAnsi="Calibri" w:cs="Calibri"/>
                <w:sz w:val="20"/>
              </w:rPr>
              <w:t>Directement applicable dans les États membres</w:t>
            </w:r>
          </w:p>
        </w:tc>
      </w:tr>
      <w:tr w:rsidR="00CB2AEA" w:rsidRPr="00CB2AEA" w14:paraId="46A900EE" w14:textId="77777777" w:rsidTr="00CB2AEA">
        <w:tc>
          <w:tcPr>
            <w:tcW w:w="0" w:type="auto"/>
            <w:hideMark/>
          </w:tcPr>
          <w:p w14:paraId="3D6198A9" w14:textId="77777777" w:rsidR="00CB2AEA" w:rsidRPr="00CB2AEA" w:rsidRDefault="00CB2AEA" w:rsidP="00CB2AEA">
            <w:pPr>
              <w:jc w:val="left"/>
              <w:rPr>
                <w:rFonts w:ascii="Calibri" w:hAnsi="Calibri" w:cs="Calibri"/>
                <w:sz w:val="20"/>
              </w:rPr>
            </w:pPr>
            <w:r w:rsidRPr="00CB2AEA">
              <w:rPr>
                <w:rFonts w:ascii="Calibri" w:hAnsi="Calibri" w:cs="Calibri"/>
                <w:b/>
                <w:bCs/>
                <w:sz w:val="20"/>
              </w:rPr>
              <w:t>Directive européenne</w:t>
            </w:r>
          </w:p>
        </w:tc>
        <w:tc>
          <w:tcPr>
            <w:tcW w:w="0" w:type="auto"/>
            <w:hideMark/>
          </w:tcPr>
          <w:p w14:paraId="642A526D" w14:textId="77777777" w:rsidR="00CB2AEA" w:rsidRPr="00CB2AEA" w:rsidRDefault="00CB2AEA" w:rsidP="00CB2AEA">
            <w:pPr>
              <w:jc w:val="left"/>
              <w:rPr>
                <w:rFonts w:ascii="Calibri" w:hAnsi="Calibri" w:cs="Calibri"/>
                <w:sz w:val="20"/>
              </w:rPr>
            </w:pPr>
            <w:r w:rsidRPr="00CB2AEA">
              <w:rPr>
                <w:rFonts w:ascii="Calibri" w:hAnsi="Calibri" w:cs="Calibri"/>
                <w:sz w:val="20"/>
              </w:rPr>
              <w:t>Fixe des objectifs devant être transposés dans les droits nationaux</w:t>
            </w:r>
          </w:p>
        </w:tc>
      </w:tr>
      <w:tr w:rsidR="00CB2AEA" w:rsidRPr="00CB2AEA" w14:paraId="5B78EF10" w14:textId="77777777" w:rsidTr="00CB2AEA">
        <w:tc>
          <w:tcPr>
            <w:tcW w:w="0" w:type="auto"/>
            <w:hideMark/>
          </w:tcPr>
          <w:p w14:paraId="5C95826D" w14:textId="77777777" w:rsidR="00CB2AEA" w:rsidRPr="00CB2AEA" w:rsidRDefault="00CB2AEA" w:rsidP="00CB2AEA">
            <w:pPr>
              <w:jc w:val="left"/>
              <w:rPr>
                <w:rFonts w:ascii="Calibri" w:hAnsi="Calibri" w:cs="Calibri"/>
                <w:sz w:val="20"/>
              </w:rPr>
            </w:pPr>
            <w:r w:rsidRPr="00CB2AEA">
              <w:rPr>
                <w:rFonts w:ascii="Calibri" w:hAnsi="Calibri" w:cs="Calibri"/>
                <w:b/>
                <w:bCs/>
                <w:sz w:val="20"/>
              </w:rPr>
              <w:t>Jurisprudence de la Cour de justice de l’Union européenne (CJUE)</w:t>
            </w:r>
          </w:p>
        </w:tc>
        <w:tc>
          <w:tcPr>
            <w:tcW w:w="0" w:type="auto"/>
            <w:hideMark/>
          </w:tcPr>
          <w:p w14:paraId="6EB972E0" w14:textId="77777777" w:rsidR="00CB2AEA" w:rsidRPr="00CB2AEA" w:rsidRDefault="00CB2AEA" w:rsidP="00CB2AEA">
            <w:pPr>
              <w:jc w:val="left"/>
              <w:rPr>
                <w:rFonts w:ascii="Calibri" w:hAnsi="Calibri" w:cs="Calibri"/>
                <w:sz w:val="20"/>
              </w:rPr>
            </w:pPr>
            <w:r w:rsidRPr="00CB2AEA">
              <w:rPr>
                <w:rFonts w:ascii="Calibri" w:hAnsi="Calibri" w:cs="Calibri"/>
                <w:sz w:val="20"/>
              </w:rPr>
              <w:t>Interprète le droit de l’Union européenne</w:t>
            </w:r>
          </w:p>
        </w:tc>
      </w:tr>
    </w:tbl>
    <w:p w14:paraId="49782409" w14:textId="77777777" w:rsidR="00CB2AEA" w:rsidRPr="00CB2AEA" w:rsidRDefault="00CB2AEA" w:rsidP="00CB2AEA">
      <w:pPr>
        <w:spacing w:after="0" w:line="240" w:lineRule="auto"/>
        <w:rPr>
          <w:b/>
          <w:bCs/>
        </w:rPr>
      </w:pPr>
      <w:r w:rsidRPr="00CB2AEA">
        <w:rPr>
          <w:b/>
          <w:bCs/>
        </w:rPr>
        <w:t>1.2. Les sources nationales étatiques</w:t>
      </w:r>
    </w:p>
    <w:p w14:paraId="210B4457" w14:textId="12F55222" w:rsidR="00CB2AEA" w:rsidRPr="00CB2AEA" w:rsidRDefault="00CB2AEA" w:rsidP="00CB2AEA">
      <w:pPr>
        <w:spacing w:after="0" w:line="240" w:lineRule="auto"/>
      </w:pPr>
      <w:r w:rsidRPr="00CB2AEA">
        <w:t>Les principales sources étatiques sont</w:t>
      </w:r>
      <w:r>
        <w:t> :</w:t>
      </w:r>
    </w:p>
    <w:p w14:paraId="484973A1" w14:textId="5F569CB9" w:rsidR="00CB2AEA" w:rsidRPr="00CB2AEA" w:rsidRDefault="00CB2AEA">
      <w:pPr>
        <w:numPr>
          <w:ilvl w:val="0"/>
          <w:numId w:val="1"/>
        </w:numPr>
        <w:spacing w:after="0" w:line="240" w:lineRule="auto"/>
      </w:pPr>
      <w:r w:rsidRPr="00CB2AEA">
        <w:t>la Constitution et le bloc de constitutionnalité</w:t>
      </w:r>
      <w:r>
        <w:t> ;</w:t>
      </w:r>
    </w:p>
    <w:p w14:paraId="44E5BFE7" w14:textId="2F239D06" w:rsidR="00CB2AEA" w:rsidRPr="00CB2AEA" w:rsidRDefault="00CB2AEA">
      <w:pPr>
        <w:numPr>
          <w:ilvl w:val="0"/>
          <w:numId w:val="1"/>
        </w:numPr>
        <w:spacing w:after="0" w:line="240" w:lineRule="auto"/>
      </w:pPr>
      <w:r w:rsidRPr="00CB2AEA">
        <w:t>les lois et ordonnances</w:t>
      </w:r>
      <w:r>
        <w:t> ;</w:t>
      </w:r>
    </w:p>
    <w:p w14:paraId="3CFFE7A5" w14:textId="45623B5D" w:rsidR="00CB2AEA" w:rsidRPr="00CB2AEA" w:rsidRDefault="00CB2AEA">
      <w:pPr>
        <w:numPr>
          <w:ilvl w:val="0"/>
          <w:numId w:val="1"/>
        </w:numPr>
        <w:spacing w:after="0" w:line="240" w:lineRule="auto"/>
      </w:pPr>
      <w:r w:rsidRPr="00CB2AEA">
        <w:t>les règlements</w:t>
      </w:r>
      <w:r>
        <w:t> :</w:t>
      </w:r>
      <w:r w:rsidRPr="00CB2AEA">
        <w:t xml:space="preserve"> décrets et arrêtés</w:t>
      </w:r>
      <w:r>
        <w:t> ;</w:t>
      </w:r>
    </w:p>
    <w:p w14:paraId="40667FE8" w14:textId="4AA83D37" w:rsidR="00CB2AEA" w:rsidRPr="00CB2AEA" w:rsidRDefault="00CB2AEA">
      <w:pPr>
        <w:numPr>
          <w:ilvl w:val="0"/>
          <w:numId w:val="1"/>
        </w:numPr>
        <w:spacing w:after="0" w:line="240" w:lineRule="auto"/>
      </w:pPr>
      <w:r w:rsidRPr="00CB2AEA">
        <w:t xml:space="preserve">le </w:t>
      </w:r>
      <w:r w:rsidRPr="00CB2AEA">
        <w:rPr>
          <w:b/>
          <w:bCs/>
        </w:rPr>
        <w:t>Code du travail</w:t>
      </w:r>
      <w:r>
        <w:t> ;</w:t>
      </w:r>
    </w:p>
    <w:p w14:paraId="3745AE64" w14:textId="67A2FE01" w:rsidR="00CB2AEA" w:rsidRPr="00CB2AEA" w:rsidRDefault="00CB2AEA">
      <w:pPr>
        <w:numPr>
          <w:ilvl w:val="0"/>
          <w:numId w:val="1"/>
        </w:numPr>
        <w:spacing w:after="0" w:line="240" w:lineRule="auto"/>
      </w:pPr>
      <w:r w:rsidRPr="00CB2AEA">
        <w:t xml:space="preserve">le </w:t>
      </w:r>
      <w:r w:rsidRPr="00CB2AEA">
        <w:rPr>
          <w:b/>
          <w:bCs/>
        </w:rPr>
        <w:t>Code de la sécurité sociale</w:t>
      </w:r>
      <w:r>
        <w:t> ;</w:t>
      </w:r>
    </w:p>
    <w:p w14:paraId="073FF445" w14:textId="77777777" w:rsidR="00CB2AEA" w:rsidRPr="00CB2AEA" w:rsidRDefault="00CB2AEA">
      <w:pPr>
        <w:numPr>
          <w:ilvl w:val="0"/>
          <w:numId w:val="1"/>
        </w:numPr>
        <w:spacing w:after="0" w:line="240" w:lineRule="auto"/>
      </w:pPr>
      <w:r w:rsidRPr="00CB2AEA">
        <w:t>la jurisprudence, notamment celle de la chambre sociale de la Cour de cassation.</w:t>
      </w:r>
    </w:p>
    <w:p w14:paraId="3B8AA88C" w14:textId="77777777" w:rsidR="00CB2AEA" w:rsidRPr="00CB2AEA" w:rsidRDefault="00CB2AEA" w:rsidP="00CB2AEA">
      <w:pPr>
        <w:spacing w:after="0" w:line="240" w:lineRule="auto"/>
      </w:pPr>
      <w:r w:rsidRPr="00CB2AEA">
        <w:t xml:space="preserve">La loi peut fixer des dispositions </w:t>
      </w:r>
      <w:r w:rsidRPr="00CB2AEA">
        <w:rPr>
          <w:b/>
          <w:bCs/>
        </w:rPr>
        <w:t>d’ordre public</w:t>
      </w:r>
      <w:r w:rsidRPr="00CB2AEA">
        <w:t>, auxquelles un accord collectif ne peut pas déroger. Elle peut aussi laisser une place plus ou moins importante à la négociation collective. L’article L. 2251-1 du Code du travail autorise en principe une convention ou un accord à prévoir des dispositions plus favorables que la loi, mais interdit toute dérogation aux dispositions ayant un caractère d’ordre public. (</w:t>
      </w:r>
      <w:hyperlink r:id="rId7" w:tooltip="Code du travail - Article L2251-1" w:history="1">
        <w:r w:rsidRPr="00CB2AEA">
          <w:rPr>
            <w:rStyle w:val="Lienhypertexte"/>
          </w:rPr>
          <w:t>Légifrance</w:t>
        </w:r>
      </w:hyperlink>
      <w:r w:rsidRPr="00CB2AEA">
        <w:t>)</w:t>
      </w:r>
    </w:p>
    <w:p w14:paraId="5170E683" w14:textId="77777777" w:rsidR="00CB2AEA" w:rsidRPr="00CB2AEA" w:rsidRDefault="00CB2AEA" w:rsidP="00CB2AEA">
      <w:pPr>
        <w:spacing w:after="0" w:line="240" w:lineRule="auto"/>
        <w:rPr>
          <w:b/>
          <w:bCs/>
        </w:rPr>
      </w:pPr>
      <w:r w:rsidRPr="00CB2AEA">
        <w:rPr>
          <w:b/>
          <w:bCs/>
        </w:rPr>
        <w:t>1.3. Les sources professionnelles négociées</w:t>
      </w:r>
    </w:p>
    <w:p w14:paraId="73481FC1" w14:textId="77777777" w:rsidR="00CB2AEA" w:rsidRPr="00CB2AEA" w:rsidRDefault="00CB2AEA" w:rsidP="00CB2AEA">
      <w:pPr>
        <w:spacing w:after="0" w:line="240" w:lineRule="auto"/>
      </w:pPr>
      <w:r w:rsidRPr="00CB2AEA">
        <w:t xml:space="preserve">Elles résultent de la </w:t>
      </w:r>
      <w:r w:rsidRPr="00CB2AEA">
        <w:rPr>
          <w:b/>
          <w:bCs/>
        </w:rPr>
        <w:t>négociation collective</w:t>
      </w:r>
      <w:r w:rsidRPr="00CB2AEA">
        <w:t xml:space="preserve"> entre les représentants des employeurs et les organisations syndicales représentatives de salariés.</w:t>
      </w:r>
    </w:p>
    <w:tbl>
      <w:tblPr>
        <w:tblStyle w:val="Grilledutableau"/>
        <w:tblW w:w="0" w:type="auto"/>
        <w:tblLook w:val="04A0" w:firstRow="1" w:lastRow="0" w:firstColumn="1" w:lastColumn="0" w:noHBand="0" w:noVBand="1"/>
      </w:tblPr>
      <w:tblGrid>
        <w:gridCol w:w="2507"/>
        <w:gridCol w:w="3529"/>
        <w:gridCol w:w="4420"/>
      </w:tblGrid>
      <w:tr w:rsidR="00CB2AEA" w:rsidRPr="00CB2AEA" w14:paraId="25E9F777" w14:textId="77777777" w:rsidTr="00CB2AEA">
        <w:trPr>
          <w:tblHeader/>
        </w:trPr>
        <w:tc>
          <w:tcPr>
            <w:tcW w:w="0" w:type="auto"/>
            <w:hideMark/>
          </w:tcPr>
          <w:p w14:paraId="30F72C18"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Niveau</w:t>
            </w:r>
          </w:p>
        </w:tc>
        <w:tc>
          <w:tcPr>
            <w:tcW w:w="0" w:type="auto"/>
            <w:hideMark/>
          </w:tcPr>
          <w:p w14:paraId="15636DA9"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Source</w:t>
            </w:r>
          </w:p>
        </w:tc>
        <w:tc>
          <w:tcPr>
            <w:tcW w:w="0" w:type="auto"/>
            <w:hideMark/>
          </w:tcPr>
          <w:p w14:paraId="2272B72D"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Champ principal</w:t>
            </w:r>
          </w:p>
        </w:tc>
      </w:tr>
      <w:tr w:rsidR="00CB2AEA" w:rsidRPr="00CB2AEA" w14:paraId="2BAF025C" w14:textId="77777777" w:rsidTr="00CB2AEA">
        <w:tc>
          <w:tcPr>
            <w:tcW w:w="0" w:type="auto"/>
            <w:hideMark/>
          </w:tcPr>
          <w:p w14:paraId="1BC759F6" w14:textId="77777777" w:rsidR="00CB2AEA" w:rsidRPr="00CB2AEA" w:rsidRDefault="00CB2AEA" w:rsidP="00CB2AEA">
            <w:pPr>
              <w:jc w:val="left"/>
              <w:rPr>
                <w:rFonts w:ascii="Calibri" w:hAnsi="Calibri" w:cs="Calibri"/>
                <w:sz w:val="20"/>
              </w:rPr>
            </w:pPr>
            <w:r w:rsidRPr="00CB2AEA">
              <w:rPr>
                <w:rFonts w:ascii="Calibri" w:hAnsi="Calibri" w:cs="Calibri"/>
                <w:sz w:val="20"/>
              </w:rPr>
              <w:t>National et interprofessionnel</w:t>
            </w:r>
          </w:p>
        </w:tc>
        <w:tc>
          <w:tcPr>
            <w:tcW w:w="0" w:type="auto"/>
            <w:hideMark/>
          </w:tcPr>
          <w:p w14:paraId="49D30204" w14:textId="4D0F9E51" w:rsidR="00CB2AEA" w:rsidRPr="00CB2AEA" w:rsidRDefault="00CB2AEA" w:rsidP="00CB2AEA">
            <w:pPr>
              <w:jc w:val="left"/>
              <w:rPr>
                <w:rFonts w:ascii="Calibri" w:hAnsi="Calibri" w:cs="Calibri"/>
                <w:sz w:val="20"/>
              </w:rPr>
            </w:pPr>
            <w:r w:rsidRPr="00CB2AEA">
              <w:rPr>
                <w:rFonts w:ascii="Calibri" w:hAnsi="Calibri" w:cs="Calibri"/>
                <w:b/>
                <w:bCs/>
                <w:sz w:val="20"/>
              </w:rPr>
              <w:t xml:space="preserve">ANI </w:t>
            </w:r>
            <w:r w:rsidRPr="00CB2AEA">
              <w:rPr>
                <w:rFonts w:ascii="Calibri" w:hAnsi="Calibri" w:cs="Calibri"/>
                <w:b/>
                <w:bCs/>
                <w:sz w:val="20"/>
              </w:rPr>
              <w:t>-</w:t>
            </w:r>
            <w:r w:rsidRPr="00CB2AEA">
              <w:rPr>
                <w:rFonts w:ascii="Calibri" w:hAnsi="Calibri" w:cs="Calibri"/>
                <w:b/>
                <w:bCs/>
                <w:sz w:val="20"/>
              </w:rPr>
              <w:t xml:space="preserve"> Accord national interprofessionnel</w:t>
            </w:r>
          </w:p>
        </w:tc>
        <w:tc>
          <w:tcPr>
            <w:tcW w:w="0" w:type="auto"/>
            <w:hideMark/>
          </w:tcPr>
          <w:p w14:paraId="3F013084" w14:textId="77777777" w:rsidR="00CB2AEA" w:rsidRPr="00CB2AEA" w:rsidRDefault="00CB2AEA" w:rsidP="00CB2AEA">
            <w:pPr>
              <w:jc w:val="left"/>
              <w:rPr>
                <w:rFonts w:ascii="Calibri" w:hAnsi="Calibri" w:cs="Calibri"/>
                <w:sz w:val="20"/>
              </w:rPr>
            </w:pPr>
            <w:r w:rsidRPr="00CB2AEA">
              <w:rPr>
                <w:rFonts w:ascii="Calibri" w:hAnsi="Calibri" w:cs="Calibri"/>
                <w:sz w:val="20"/>
              </w:rPr>
              <w:t>Plusieurs branches ou professions</w:t>
            </w:r>
          </w:p>
        </w:tc>
      </w:tr>
      <w:tr w:rsidR="00CB2AEA" w:rsidRPr="00CB2AEA" w14:paraId="0BE0144A" w14:textId="77777777" w:rsidTr="00CB2AEA">
        <w:tc>
          <w:tcPr>
            <w:tcW w:w="0" w:type="auto"/>
            <w:hideMark/>
          </w:tcPr>
          <w:p w14:paraId="73FA450E" w14:textId="77777777" w:rsidR="00CB2AEA" w:rsidRPr="00CB2AEA" w:rsidRDefault="00CB2AEA" w:rsidP="00CB2AEA">
            <w:pPr>
              <w:jc w:val="left"/>
              <w:rPr>
                <w:rFonts w:ascii="Calibri" w:hAnsi="Calibri" w:cs="Calibri"/>
                <w:sz w:val="20"/>
              </w:rPr>
            </w:pPr>
            <w:r w:rsidRPr="00CB2AEA">
              <w:rPr>
                <w:rFonts w:ascii="Calibri" w:hAnsi="Calibri" w:cs="Calibri"/>
                <w:sz w:val="20"/>
              </w:rPr>
              <w:t>Branche</w:t>
            </w:r>
          </w:p>
        </w:tc>
        <w:tc>
          <w:tcPr>
            <w:tcW w:w="0" w:type="auto"/>
            <w:hideMark/>
          </w:tcPr>
          <w:p w14:paraId="63382EC8" w14:textId="77777777" w:rsidR="00CB2AEA" w:rsidRPr="00CB2AEA" w:rsidRDefault="00CB2AEA" w:rsidP="00CB2AEA">
            <w:pPr>
              <w:jc w:val="left"/>
              <w:rPr>
                <w:rFonts w:ascii="Calibri" w:hAnsi="Calibri" w:cs="Calibri"/>
                <w:sz w:val="20"/>
              </w:rPr>
            </w:pPr>
            <w:r w:rsidRPr="00CB2AEA">
              <w:rPr>
                <w:rFonts w:ascii="Calibri" w:hAnsi="Calibri" w:cs="Calibri"/>
                <w:b/>
                <w:bCs/>
                <w:sz w:val="20"/>
              </w:rPr>
              <w:t>Convention collective ou accord de branche</w:t>
            </w:r>
          </w:p>
        </w:tc>
        <w:tc>
          <w:tcPr>
            <w:tcW w:w="0" w:type="auto"/>
            <w:hideMark/>
          </w:tcPr>
          <w:p w14:paraId="7D67A2DE" w14:textId="77777777" w:rsidR="00CB2AEA" w:rsidRPr="00CB2AEA" w:rsidRDefault="00CB2AEA" w:rsidP="00CB2AEA">
            <w:pPr>
              <w:jc w:val="left"/>
              <w:rPr>
                <w:rFonts w:ascii="Calibri" w:hAnsi="Calibri" w:cs="Calibri"/>
                <w:sz w:val="20"/>
              </w:rPr>
            </w:pPr>
            <w:r w:rsidRPr="00CB2AEA">
              <w:rPr>
                <w:rFonts w:ascii="Calibri" w:hAnsi="Calibri" w:cs="Calibri"/>
                <w:sz w:val="20"/>
              </w:rPr>
              <w:t>Entreprises relevant d'une même branche professionnelle</w:t>
            </w:r>
          </w:p>
        </w:tc>
      </w:tr>
      <w:tr w:rsidR="00CB2AEA" w:rsidRPr="00CB2AEA" w14:paraId="16F9360E" w14:textId="77777777" w:rsidTr="00CB2AEA">
        <w:tc>
          <w:tcPr>
            <w:tcW w:w="0" w:type="auto"/>
            <w:hideMark/>
          </w:tcPr>
          <w:p w14:paraId="2E771541" w14:textId="77777777" w:rsidR="00CB2AEA" w:rsidRPr="00CB2AEA" w:rsidRDefault="00CB2AEA" w:rsidP="00CB2AEA">
            <w:pPr>
              <w:jc w:val="left"/>
              <w:rPr>
                <w:rFonts w:ascii="Calibri" w:hAnsi="Calibri" w:cs="Calibri"/>
                <w:sz w:val="20"/>
              </w:rPr>
            </w:pPr>
            <w:r w:rsidRPr="00CB2AEA">
              <w:rPr>
                <w:rFonts w:ascii="Calibri" w:hAnsi="Calibri" w:cs="Calibri"/>
                <w:sz w:val="20"/>
              </w:rPr>
              <w:t>Entreprise</w:t>
            </w:r>
          </w:p>
        </w:tc>
        <w:tc>
          <w:tcPr>
            <w:tcW w:w="0" w:type="auto"/>
            <w:hideMark/>
          </w:tcPr>
          <w:p w14:paraId="29772533" w14:textId="77777777" w:rsidR="00CB2AEA" w:rsidRPr="00CB2AEA" w:rsidRDefault="00CB2AEA" w:rsidP="00CB2AEA">
            <w:pPr>
              <w:jc w:val="left"/>
              <w:rPr>
                <w:rFonts w:ascii="Calibri" w:hAnsi="Calibri" w:cs="Calibri"/>
                <w:sz w:val="20"/>
              </w:rPr>
            </w:pPr>
            <w:r w:rsidRPr="00CB2AEA">
              <w:rPr>
                <w:rFonts w:ascii="Calibri" w:hAnsi="Calibri" w:cs="Calibri"/>
                <w:b/>
                <w:bCs/>
                <w:sz w:val="20"/>
              </w:rPr>
              <w:t>Convention ou accord d’entreprise</w:t>
            </w:r>
          </w:p>
        </w:tc>
        <w:tc>
          <w:tcPr>
            <w:tcW w:w="0" w:type="auto"/>
            <w:hideMark/>
          </w:tcPr>
          <w:p w14:paraId="5ADACD0C" w14:textId="77777777" w:rsidR="00CB2AEA" w:rsidRPr="00CB2AEA" w:rsidRDefault="00CB2AEA" w:rsidP="00CB2AEA">
            <w:pPr>
              <w:jc w:val="left"/>
              <w:rPr>
                <w:rFonts w:ascii="Calibri" w:hAnsi="Calibri" w:cs="Calibri"/>
                <w:sz w:val="20"/>
              </w:rPr>
            </w:pPr>
            <w:r w:rsidRPr="00CB2AEA">
              <w:rPr>
                <w:rFonts w:ascii="Calibri" w:hAnsi="Calibri" w:cs="Calibri"/>
                <w:sz w:val="20"/>
              </w:rPr>
              <w:t>Une entreprise</w:t>
            </w:r>
          </w:p>
        </w:tc>
      </w:tr>
      <w:tr w:rsidR="00CB2AEA" w:rsidRPr="00CB2AEA" w14:paraId="4ACAA3B2" w14:textId="77777777" w:rsidTr="00CB2AEA">
        <w:tc>
          <w:tcPr>
            <w:tcW w:w="0" w:type="auto"/>
            <w:hideMark/>
          </w:tcPr>
          <w:p w14:paraId="719B71C1" w14:textId="77777777" w:rsidR="00CB2AEA" w:rsidRPr="00CB2AEA" w:rsidRDefault="00CB2AEA" w:rsidP="00CB2AEA">
            <w:pPr>
              <w:jc w:val="left"/>
              <w:rPr>
                <w:rFonts w:ascii="Calibri" w:hAnsi="Calibri" w:cs="Calibri"/>
                <w:sz w:val="20"/>
              </w:rPr>
            </w:pPr>
            <w:r w:rsidRPr="00CB2AEA">
              <w:rPr>
                <w:rFonts w:ascii="Calibri" w:hAnsi="Calibri" w:cs="Calibri"/>
                <w:sz w:val="20"/>
              </w:rPr>
              <w:t>Établissement</w:t>
            </w:r>
          </w:p>
        </w:tc>
        <w:tc>
          <w:tcPr>
            <w:tcW w:w="0" w:type="auto"/>
            <w:hideMark/>
          </w:tcPr>
          <w:p w14:paraId="7367DB91" w14:textId="77777777" w:rsidR="00CB2AEA" w:rsidRPr="00CB2AEA" w:rsidRDefault="00CB2AEA" w:rsidP="00CB2AEA">
            <w:pPr>
              <w:jc w:val="left"/>
              <w:rPr>
                <w:rFonts w:ascii="Calibri" w:hAnsi="Calibri" w:cs="Calibri"/>
                <w:sz w:val="20"/>
              </w:rPr>
            </w:pPr>
            <w:r w:rsidRPr="00CB2AEA">
              <w:rPr>
                <w:rFonts w:ascii="Calibri" w:hAnsi="Calibri" w:cs="Calibri"/>
                <w:b/>
                <w:bCs/>
                <w:sz w:val="20"/>
              </w:rPr>
              <w:t>Accord d’établissement</w:t>
            </w:r>
          </w:p>
        </w:tc>
        <w:tc>
          <w:tcPr>
            <w:tcW w:w="0" w:type="auto"/>
            <w:hideMark/>
          </w:tcPr>
          <w:p w14:paraId="725F3D96" w14:textId="77777777" w:rsidR="00CB2AEA" w:rsidRPr="00CB2AEA" w:rsidRDefault="00CB2AEA" w:rsidP="00CB2AEA">
            <w:pPr>
              <w:jc w:val="left"/>
              <w:rPr>
                <w:rFonts w:ascii="Calibri" w:hAnsi="Calibri" w:cs="Calibri"/>
                <w:sz w:val="20"/>
              </w:rPr>
            </w:pPr>
            <w:r w:rsidRPr="00CB2AEA">
              <w:rPr>
                <w:rFonts w:ascii="Calibri" w:hAnsi="Calibri" w:cs="Calibri"/>
                <w:sz w:val="20"/>
              </w:rPr>
              <w:t>Un ou plusieurs établissements d’une entreprise</w:t>
            </w:r>
          </w:p>
        </w:tc>
      </w:tr>
    </w:tbl>
    <w:p w14:paraId="5AF6B569" w14:textId="77777777" w:rsidR="00CB2AEA" w:rsidRPr="00CB2AEA" w:rsidRDefault="00CB2AEA" w:rsidP="00CB2AEA">
      <w:pPr>
        <w:spacing w:after="0" w:line="240" w:lineRule="auto"/>
      </w:pPr>
      <w:r w:rsidRPr="00CB2AEA">
        <w:t>La négociation collective porte sur les conditions d’emploi, de formation professionnelle et de travail ainsi que sur les garanties sociales. (</w:t>
      </w:r>
      <w:hyperlink r:id="rId8" w:tooltip="Code du travail" w:history="1">
        <w:r w:rsidRPr="00CB2AEA">
          <w:rPr>
            <w:rStyle w:val="Lienhypertexte"/>
          </w:rPr>
          <w:t>Légifrance</w:t>
        </w:r>
      </w:hyperlink>
      <w:r w:rsidRPr="00CB2AEA">
        <w:t>)</w:t>
      </w:r>
    </w:p>
    <w:p w14:paraId="459A5D81" w14:textId="77777777" w:rsidR="00CB2AEA" w:rsidRPr="00CB2AEA" w:rsidRDefault="00CB2AEA" w:rsidP="00CB2AEA">
      <w:pPr>
        <w:spacing w:after="0" w:line="240" w:lineRule="auto"/>
        <w:rPr>
          <w:b/>
          <w:bCs/>
        </w:rPr>
      </w:pPr>
      <w:r w:rsidRPr="00CB2AEA">
        <w:rPr>
          <w:b/>
          <w:bCs/>
        </w:rPr>
        <w:t>1.4. Les normes établies par l’employeur</w:t>
      </w:r>
    </w:p>
    <w:p w14:paraId="4E01E7F8" w14:textId="77777777" w:rsidR="00CB2AEA" w:rsidRPr="00CB2AEA" w:rsidRDefault="00CB2AEA" w:rsidP="00CB2AEA">
      <w:pPr>
        <w:spacing w:after="0" w:line="240" w:lineRule="auto"/>
      </w:pPr>
      <w:r w:rsidRPr="00CB2AEA">
        <w:t>Certaines règles naissent d’une décision de l’employeur et non d’une négociation collective.</w:t>
      </w:r>
    </w:p>
    <w:tbl>
      <w:tblPr>
        <w:tblStyle w:val="Grilledutableau"/>
        <w:tblW w:w="0" w:type="auto"/>
        <w:tblLook w:val="04A0" w:firstRow="1" w:lastRow="0" w:firstColumn="1" w:lastColumn="0" w:noHBand="0" w:noVBand="1"/>
      </w:tblPr>
      <w:tblGrid>
        <w:gridCol w:w="3124"/>
        <w:gridCol w:w="7332"/>
      </w:tblGrid>
      <w:tr w:rsidR="00CB2AEA" w:rsidRPr="00CB2AEA" w14:paraId="4A7DE789" w14:textId="77777777" w:rsidTr="00CB2AEA">
        <w:trPr>
          <w:tblHeader/>
        </w:trPr>
        <w:tc>
          <w:tcPr>
            <w:tcW w:w="0" w:type="auto"/>
            <w:hideMark/>
          </w:tcPr>
          <w:p w14:paraId="3A2CE139"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lastRenderedPageBreak/>
              <w:t>Source</w:t>
            </w:r>
          </w:p>
        </w:tc>
        <w:tc>
          <w:tcPr>
            <w:tcW w:w="0" w:type="auto"/>
            <w:hideMark/>
          </w:tcPr>
          <w:p w14:paraId="66C91029"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Caractéristiques</w:t>
            </w:r>
          </w:p>
        </w:tc>
      </w:tr>
      <w:tr w:rsidR="00CB2AEA" w:rsidRPr="00CB2AEA" w14:paraId="0CC4D864" w14:textId="77777777" w:rsidTr="00CB2AEA">
        <w:tc>
          <w:tcPr>
            <w:tcW w:w="0" w:type="auto"/>
            <w:hideMark/>
          </w:tcPr>
          <w:p w14:paraId="5B284929" w14:textId="77777777" w:rsidR="00CB2AEA" w:rsidRPr="00CB2AEA" w:rsidRDefault="00CB2AEA" w:rsidP="00CB2AEA">
            <w:pPr>
              <w:jc w:val="left"/>
              <w:rPr>
                <w:rFonts w:ascii="Calibri" w:hAnsi="Calibri" w:cs="Calibri"/>
                <w:sz w:val="20"/>
              </w:rPr>
            </w:pPr>
            <w:r w:rsidRPr="00CB2AEA">
              <w:rPr>
                <w:rFonts w:ascii="Calibri" w:hAnsi="Calibri" w:cs="Calibri"/>
                <w:b/>
                <w:bCs/>
                <w:sz w:val="20"/>
              </w:rPr>
              <w:t>Règlement intérieur</w:t>
            </w:r>
          </w:p>
        </w:tc>
        <w:tc>
          <w:tcPr>
            <w:tcW w:w="0" w:type="auto"/>
            <w:hideMark/>
          </w:tcPr>
          <w:p w14:paraId="338B944B" w14:textId="77777777" w:rsidR="00CB2AEA" w:rsidRPr="00CB2AEA" w:rsidRDefault="00CB2AEA" w:rsidP="00CB2AEA">
            <w:pPr>
              <w:jc w:val="left"/>
              <w:rPr>
                <w:rFonts w:ascii="Calibri" w:hAnsi="Calibri" w:cs="Calibri"/>
                <w:sz w:val="20"/>
              </w:rPr>
            </w:pPr>
            <w:r w:rsidRPr="00CB2AEA">
              <w:rPr>
                <w:rFonts w:ascii="Calibri" w:hAnsi="Calibri" w:cs="Calibri"/>
                <w:sz w:val="20"/>
              </w:rPr>
              <w:t>Acte écrit unilatéral fixant notamment les règles relatives à la santé, à la sécurité et à la discipline</w:t>
            </w:r>
          </w:p>
        </w:tc>
      </w:tr>
      <w:tr w:rsidR="00CB2AEA" w:rsidRPr="00CB2AEA" w14:paraId="05956BCF" w14:textId="77777777" w:rsidTr="00CB2AEA">
        <w:tc>
          <w:tcPr>
            <w:tcW w:w="0" w:type="auto"/>
            <w:hideMark/>
          </w:tcPr>
          <w:p w14:paraId="76AE3151" w14:textId="77777777" w:rsidR="00CB2AEA" w:rsidRPr="00CB2AEA" w:rsidRDefault="00CB2AEA" w:rsidP="00CB2AEA">
            <w:pPr>
              <w:jc w:val="left"/>
              <w:rPr>
                <w:rFonts w:ascii="Calibri" w:hAnsi="Calibri" w:cs="Calibri"/>
                <w:sz w:val="20"/>
              </w:rPr>
            </w:pPr>
            <w:r w:rsidRPr="00CB2AEA">
              <w:rPr>
                <w:rFonts w:ascii="Calibri" w:hAnsi="Calibri" w:cs="Calibri"/>
                <w:b/>
                <w:bCs/>
                <w:sz w:val="20"/>
              </w:rPr>
              <w:t>Usage d’entreprise</w:t>
            </w:r>
          </w:p>
        </w:tc>
        <w:tc>
          <w:tcPr>
            <w:tcW w:w="0" w:type="auto"/>
            <w:hideMark/>
          </w:tcPr>
          <w:p w14:paraId="13A6EB16" w14:textId="77777777" w:rsidR="00CB2AEA" w:rsidRPr="00CB2AEA" w:rsidRDefault="00CB2AEA" w:rsidP="00CB2AEA">
            <w:pPr>
              <w:jc w:val="left"/>
              <w:rPr>
                <w:rFonts w:ascii="Calibri" w:hAnsi="Calibri" w:cs="Calibri"/>
                <w:sz w:val="20"/>
              </w:rPr>
            </w:pPr>
            <w:r w:rsidRPr="00CB2AEA">
              <w:rPr>
                <w:rFonts w:ascii="Calibri" w:hAnsi="Calibri" w:cs="Calibri"/>
                <w:sz w:val="20"/>
              </w:rPr>
              <w:t>Avantage résultant d’une pratique générale, constante et fixe</w:t>
            </w:r>
          </w:p>
        </w:tc>
      </w:tr>
      <w:tr w:rsidR="00CB2AEA" w:rsidRPr="00CB2AEA" w14:paraId="6BDD9809" w14:textId="77777777" w:rsidTr="00CB2AEA">
        <w:tc>
          <w:tcPr>
            <w:tcW w:w="0" w:type="auto"/>
            <w:hideMark/>
          </w:tcPr>
          <w:p w14:paraId="50559C3F" w14:textId="77777777" w:rsidR="00CB2AEA" w:rsidRPr="00CB2AEA" w:rsidRDefault="00CB2AEA" w:rsidP="00CB2AEA">
            <w:pPr>
              <w:jc w:val="left"/>
              <w:rPr>
                <w:rFonts w:ascii="Calibri" w:hAnsi="Calibri" w:cs="Calibri"/>
                <w:sz w:val="20"/>
              </w:rPr>
            </w:pPr>
            <w:r w:rsidRPr="00CB2AEA">
              <w:rPr>
                <w:rFonts w:ascii="Calibri" w:hAnsi="Calibri" w:cs="Calibri"/>
                <w:b/>
                <w:bCs/>
                <w:sz w:val="20"/>
              </w:rPr>
              <w:t>Engagement unilatéral de l’employeur</w:t>
            </w:r>
          </w:p>
        </w:tc>
        <w:tc>
          <w:tcPr>
            <w:tcW w:w="0" w:type="auto"/>
            <w:hideMark/>
          </w:tcPr>
          <w:p w14:paraId="7F57F1A1" w14:textId="77777777" w:rsidR="00CB2AEA" w:rsidRPr="00CB2AEA" w:rsidRDefault="00CB2AEA" w:rsidP="00CB2AEA">
            <w:pPr>
              <w:jc w:val="left"/>
              <w:rPr>
                <w:rFonts w:ascii="Calibri" w:hAnsi="Calibri" w:cs="Calibri"/>
                <w:sz w:val="20"/>
              </w:rPr>
            </w:pPr>
            <w:r w:rsidRPr="00CB2AEA">
              <w:rPr>
                <w:rFonts w:ascii="Calibri" w:hAnsi="Calibri" w:cs="Calibri"/>
                <w:sz w:val="20"/>
              </w:rPr>
              <w:t>Engagement pris expressément par l’employeur sans négociation collective</w:t>
            </w:r>
          </w:p>
        </w:tc>
      </w:tr>
    </w:tbl>
    <w:p w14:paraId="2F1E7680" w14:textId="16F90047" w:rsidR="00CB2AEA" w:rsidRPr="00CB2AEA" w:rsidRDefault="00CB2AEA" w:rsidP="00CB2AEA">
      <w:pPr>
        <w:spacing w:after="0" w:line="240" w:lineRule="auto"/>
      </w:pPr>
      <w:r w:rsidRPr="00CB2AEA">
        <w:t xml:space="preserve">Le règlement intérieur doit respecter la procédure légale. Depuis le 28 mai 2026, il ne peut être introduit qu’après avis du </w:t>
      </w:r>
      <w:r w:rsidRPr="00CB2AEA">
        <w:rPr>
          <w:b/>
          <w:bCs/>
        </w:rPr>
        <w:t>Comité social et économique (CSE)</w:t>
      </w:r>
      <w:r>
        <w:t> ;</w:t>
      </w:r>
      <w:r w:rsidRPr="00CB2AEA">
        <w:t xml:space="preserve"> il doit faire l’objet des formalités de publicité et être communiqué avec l’avis du CSE à l’inspecteur du travail. Son entrée en vigueur intervient au moins un mois après les formalités de publicité. (</w:t>
      </w:r>
      <w:hyperlink r:id="rId9" w:tooltip="Code du travail" w:history="1">
        <w:r w:rsidRPr="00CB2AEA">
          <w:rPr>
            <w:rStyle w:val="Lienhypertexte"/>
          </w:rPr>
          <w:t>Légifrance</w:t>
        </w:r>
      </w:hyperlink>
      <w:r w:rsidRPr="00CB2AEA">
        <w:t>)</w:t>
      </w:r>
    </w:p>
    <w:p w14:paraId="3EB4CF43" w14:textId="77777777" w:rsidR="00CB2AEA" w:rsidRPr="00CB2AEA" w:rsidRDefault="00CB2AEA" w:rsidP="00CB2AEA">
      <w:pPr>
        <w:spacing w:after="0" w:line="240" w:lineRule="auto"/>
        <w:rPr>
          <w:b/>
          <w:bCs/>
        </w:rPr>
      </w:pPr>
      <w:r w:rsidRPr="00CB2AEA">
        <w:rPr>
          <w:b/>
          <w:bCs/>
        </w:rPr>
        <w:t>1.5. Le contrat de travail</w:t>
      </w:r>
    </w:p>
    <w:p w14:paraId="3980111C" w14:textId="77777777" w:rsidR="00CB2AEA" w:rsidRPr="00CB2AEA" w:rsidRDefault="00CB2AEA" w:rsidP="00CB2AEA">
      <w:pPr>
        <w:spacing w:after="0" w:line="240" w:lineRule="auto"/>
      </w:pPr>
      <w:r w:rsidRPr="00CB2AEA">
        <w:t>Le contrat constitue la norme individuelle régissant les rapports entre un employeur et un salarié.</w:t>
      </w:r>
    </w:p>
    <w:p w14:paraId="011D3BDD" w14:textId="77777777" w:rsidR="00CB2AEA" w:rsidRPr="00CB2AEA" w:rsidRDefault="00CB2AEA" w:rsidP="00CB2AEA">
      <w:pPr>
        <w:spacing w:after="0" w:line="240" w:lineRule="auto"/>
      </w:pPr>
      <w:r w:rsidRPr="00CB2AEA">
        <w:t xml:space="preserve">Lorsqu’un employeur est lié par une convention ou un accord collectif, ses dispositions s’appliquent au contrat de travail </w:t>
      </w:r>
      <w:r w:rsidRPr="00CB2AEA">
        <w:rPr>
          <w:b/>
          <w:bCs/>
        </w:rPr>
        <w:t>sauf lorsque le contrat comporte des stipulations plus favorables au salarié</w:t>
      </w:r>
      <w:r w:rsidRPr="00CB2AEA">
        <w:t>. (</w:t>
      </w:r>
      <w:hyperlink r:id="rId10" w:tooltip="Article L2254-1 - Code du travail" w:history="1">
        <w:r w:rsidRPr="00CB2AEA">
          <w:rPr>
            <w:rStyle w:val="Lienhypertexte"/>
          </w:rPr>
          <w:t>Légifrance</w:t>
        </w:r>
      </w:hyperlink>
      <w:r w:rsidRPr="00CB2AEA">
        <w:t>)</w:t>
      </w:r>
    </w:p>
    <w:p w14:paraId="598E34D9" w14:textId="77777777" w:rsidR="00CB2AEA" w:rsidRPr="00CB2AEA" w:rsidRDefault="00CB2AEA" w:rsidP="00CB2AEA">
      <w:pPr>
        <w:spacing w:after="0" w:line="240" w:lineRule="auto"/>
      </w:pPr>
      <w:r w:rsidRPr="00CB2AEA">
        <w:rPr>
          <w:b/>
          <w:bCs/>
        </w:rPr>
        <w:t>Exemple</w:t>
      </w:r>
    </w:p>
    <w:p w14:paraId="3F8E3F13" w14:textId="77777777" w:rsidR="00CB2AEA" w:rsidRPr="00CB2AEA" w:rsidRDefault="00CB2AEA" w:rsidP="00CB2AEA">
      <w:pPr>
        <w:spacing w:after="0" w:line="240" w:lineRule="auto"/>
      </w:pPr>
      <w:r w:rsidRPr="00CB2AEA">
        <w:t>Une convention collective prévoit 25 jours de congés conventionnels supplémentaires dans une situation donnée et le contrat individuel en prévoit 30. La stipulation contractuelle plus favorable est maintenue.</w:t>
      </w:r>
    </w:p>
    <w:p w14:paraId="4F16A3D4" w14:textId="77777777" w:rsidR="00CB2AEA" w:rsidRPr="00CB2AEA" w:rsidRDefault="00CB2AEA" w:rsidP="00CB2AEA">
      <w:pPr>
        <w:spacing w:after="0" w:line="240" w:lineRule="auto"/>
      </w:pPr>
      <w:r w:rsidRPr="00CB2AEA">
        <w:t>Il existe toutefois des mécanismes particuliers permettant à certains accords collectifs de produire des effets sur le contrat, notamment l’accord de performance collective. Ils seront étudiés avec la modification et la rupture du contrat de travail.</w:t>
      </w:r>
    </w:p>
    <w:p w14:paraId="3297D362" w14:textId="77777777" w:rsidR="00CB2AEA" w:rsidRPr="00CB2AEA" w:rsidRDefault="00CB2AEA" w:rsidP="00CB2AEA">
      <w:pPr>
        <w:pStyle w:val="Titre1"/>
      </w:pPr>
      <w:r w:rsidRPr="00CB2AEA">
        <w:t>2. La convention collective et l’accord collectif</w:t>
      </w:r>
    </w:p>
    <w:p w14:paraId="05952881" w14:textId="77777777" w:rsidR="00CB2AEA" w:rsidRPr="00CB2AEA" w:rsidRDefault="00CB2AEA" w:rsidP="00CB2AEA">
      <w:pPr>
        <w:spacing w:after="0" w:line="240" w:lineRule="auto"/>
        <w:rPr>
          <w:b/>
          <w:bCs/>
        </w:rPr>
      </w:pPr>
      <w:r w:rsidRPr="00CB2AEA">
        <w:rPr>
          <w:b/>
          <w:bCs/>
        </w:rPr>
        <w:t>2.1. La distinction</w:t>
      </w:r>
    </w:p>
    <w:p w14:paraId="463F7E6E" w14:textId="77777777" w:rsidR="00CB2AEA" w:rsidRPr="00CB2AEA" w:rsidRDefault="00CB2AEA" w:rsidP="00CB2AEA">
      <w:pPr>
        <w:spacing w:after="0" w:line="240" w:lineRule="auto"/>
      </w:pPr>
      <w:r w:rsidRPr="00CB2AEA">
        <w:t xml:space="preserve">La </w:t>
      </w:r>
      <w:r w:rsidRPr="00CB2AEA">
        <w:rPr>
          <w:b/>
          <w:bCs/>
        </w:rPr>
        <w:t>convention collective</w:t>
      </w:r>
      <w:r w:rsidRPr="00CB2AEA">
        <w:t xml:space="preserve"> traite généralement d’un ensemble large de conditions d’emploi, de travail et de garanties sociales dans un champ professionnel donné.</w:t>
      </w:r>
    </w:p>
    <w:p w14:paraId="0CE22A31" w14:textId="750E6525" w:rsidR="00CB2AEA" w:rsidRPr="00CB2AEA" w:rsidRDefault="00CB2AEA" w:rsidP="00CB2AEA">
      <w:pPr>
        <w:spacing w:after="0" w:line="240" w:lineRule="auto"/>
      </w:pPr>
      <w:r w:rsidRPr="00CB2AEA">
        <w:t>L’</w:t>
      </w:r>
      <w:r w:rsidRPr="00CB2AEA">
        <w:rPr>
          <w:b/>
          <w:bCs/>
        </w:rPr>
        <w:t>accord collectif</w:t>
      </w:r>
      <w:r w:rsidRPr="00CB2AEA">
        <w:t xml:space="preserve"> règle généralement une ou plusieurs questions déterminées</w:t>
      </w:r>
      <w:r>
        <w:t> :</w:t>
      </w:r>
      <w:r w:rsidRPr="00CB2AEA">
        <w:t xml:space="preserve"> rémunération, temps de travail, égalité professionnelle, télétravail, intéressement, etc.</w:t>
      </w:r>
    </w:p>
    <w:p w14:paraId="5B794050" w14:textId="77777777" w:rsidR="00CB2AEA" w:rsidRPr="00CB2AEA" w:rsidRDefault="00CB2AEA" w:rsidP="00CB2AEA">
      <w:pPr>
        <w:spacing w:after="0" w:line="240" w:lineRule="auto"/>
      </w:pPr>
      <w:r w:rsidRPr="00CB2AEA">
        <w:t>Dans les deux cas, il s’agit de normes résultant d’une négociation collective.</w:t>
      </w:r>
    </w:p>
    <w:p w14:paraId="55A524D6" w14:textId="77777777" w:rsidR="00CB2AEA" w:rsidRPr="00CB2AEA" w:rsidRDefault="00CB2AEA" w:rsidP="00CB2AEA">
      <w:pPr>
        <w:spacing w:after="0" w:line="240" w:lineRule="auto"/>
        <w:rPr>
          <w:b/>
          <w:bCs/>
        </w:rPr>
      </w:pPr>
      <w:r w:rsidRPr="00CB2AEA">
        <w:rPr>
          <w:b/>
          <w:bCs/>
        </w:rPr>
        <w:t>2.2. Les principaux niveaux de négociation</w:t>
      </w:r>
    </w:p>
    <w:p w14:paraId="3B831589" w14:textId="77777777" w:rsidR="00CB2AEA" w:rsidRPr="00CB2AEA" w:rsidRDefault="00CB2AEA" w:rsidP="00CB2AEA">
      <w:pPr>
        <w:spacing w:after="0" w:line="240" w:lineRule="auto"/>
        <w:rPr>
          <w:b/>
          <w:bCs/>
        </w:rPr>
      </w:pPr>
      <w:r w:rsidRPr="00CB2AEA">
        <w:rPr>
          <w:b/>
          <w:bCs/>
        </w:rPr>
        <w:t>L’accord national interprofessionnel</w:t>
      </w:r>
    </w:p>
    <w:p w14:paraId="2EDE02E9" w14:textId="77777777" w:rsidR="00CB2AEA" w:rsidRPr="00CB2AEA" w:rsidRDefault="00CB2AEA" w:rsidP="00CB2AEA">
      <w:pPr>
        <w:spacing w:after="0" w:line="240" w:lineRule="auto"/>
      </w:pPr>
      <w:r w:rsidRPr="00CB2AEA">
        <w:t>L’</w:t>
      </w:r>
      <w:r w:rsidRPr="00CB2AEA">
        <w:rPr>
          <w:b/>
          <w:bCs/>
        </w:rPr>
        <w:t>ANI</w:t>
      </w:r>
      <w:r w:rsidRPr="00CB2AEA">
        <w:t xml:space="preserve"> concerne plusieurs professions et plusieurs branches au niveau national.</w:t>
      </w:r>
    </w:p>
    <w:p w14:paraId="16226BD4" w14:textId="77777777" w:rsidR="00CB2AEA" w:rsidRPr="00CB2AEA" w:rsidRDefault="00CB2AEA" w:rsidP="00CB2AEA">
      <w:pPr>
        <w:spacing w:after="0" w:line="240" w:lineRule="auto"/>
      </w:pPr>
      <w:r w:rsidRPr="00CB2AEA">
        <w:t>Il permet notamment aux partenaires sociaux de négocier des règles communes sur de grandes questions sociales.</w:t>
      </w:r>
    </w:p>
    <w:p w14:paraId="418F6CEC" w14:textId="77777777" w:rsidR="00CB2AEA" w:rsidRPr="00CB2AEA" w:rsidRDefault="00CB2AEA" w:rsidP="00CB2AEA">
      <w:pPr>
        <w:spacing w:after="0" w:line="240" w:lineRule="auto"/>
        <w:rPr>
          <w:b/>
          <w:bCs/>
        </w:rPr>
      </w:pPr>
      <w:r w:rsidRPr="00CB2AEA">
        <w:rPr>
          <w:b/>
          <w:bCs/>
        </w:rPr>
        <w:t>La convention ou l’accord de branche</w:t>
      </w:r>
    </w:p>
    <w:p w14:paraId="36526976" w14:textId="77777777" w:rsidR="00CB2AEA" w:rsidRPr="00CB2AEA" w:rsidRDefault="00CB2AEA" w:rsidP="00CB2AEA">
      <w:pPr>
        <w:spacing w:after="0" w:line="240" w:lineRule="auto"/>
      </w:pPr>
      <w:r w:rsidRPr="00CB2AEA">
        <w:t>La branche regroupe les entreprises exerçant des activités professionnelles relevant d’un même champ.</w:t>
      </w:r>
    </w:p>
    <w:p w14:paraId="12A49189" w14:textId="12AD96EF" w:rsidR="00CB2AEA" w:rsidRPr="00CB2AEA" w:rsidRDefault="00CB2AEA" w:rsidP="00CB2AEA">
      <w:pPr>
        <w:spacing w:after="0" w:line="240" w:lineRule="auto"/>
      </w:pPr>
      <w:r w:rsidRPr="00CB2AEA">
        <w:t>La convention collective de branche peut notamment traiter</w:t>
      </w:r>
      <w:r>
        <w:t> :</w:t>
      </w:r>
    </w:p>
    <w:p w14:paraId="4E6FFB0D" w14:textId="47338CCA" w:rsidR="00CB2AEA" w:rsidRPr="00CB2AEA" w:rsidRDefault="00CB2AEA">
      <w:pPr>
        <w:numPr>
          <w:ilvl w:val="0"/>
          <w:numId w:val="2"/>
        </w:numPr>
        <w:spacing w:after="0" w:line="240" w:lineRule="auto"/>
      </w:pPr>
      <w:r w:rsidRPr="00CB2AEA">
        <w:t>des classifications</w:t>
      </w:r>
      <w:r>
        <w:t> ;</w:t>
      </w:r>
    </w:p>
    <w:p w14:paraId="38FF0A19" w14:textId="4D19E9C1" w:rsidR="00CB2AEA" w:rsidRPr="00CB2AEA" w:rsidRDefault="00CB2AEA">
      <w:pPr>
        <w:numPr>
          <w:ilvl w:val="0"/>
          <w:numId w:val="2"/>
        </w:numPr>
        <w:spacing w:after="0" w:line="240" w:lineRule="auto"/>
      </w:pPr>
      <w:r w:rsidRPr="00CB2AEA">
        <w:t>des rémunérations minimales</w:t>
      </w:r>
      <w:r>
        <w:t> ;</w:t>
      </w:r>
    </w:p>
    <w:p w14:paraId="2B333BE6" w14:textId="2E4F206F" w:rsidR="00CB2AEA" w:rsidRPr="00CB2AEA" w:rsidRDefault="00CB2AEA">
      <w:pPr>
        <w:numPr>
          <w:ilvl w:val="0"/>
          <w:numId w:val="2"/>
        </w:numPr>
        <w:spacing w:after="0" w:line="240" w:lineRule="auto"/>
      </w:pPr>
      <w:r w:rsidRPr="00CB2AEA">
        <w:t>des périodes d’essai</w:t>
      </w:r>
      <w:r>
        <w:t> ;</w:t>
      </w:r>
    </w:p>
    <w:p w14:paraId="678D9FB9" w14:textId="7A985872" w:rsidR="00CB2AEA" w:rsidRPr="00CB2AEA" w:rsidRDefault="00CB2AEA">
      <w:pPr>
        <w:numPr>
          <w:ilvl w:val="0"/>
          <w:numId w:val="2"/>
        </w:numPr>
        <w:spacing w:after="0" w:line="240" w:lineRule="auto"/>
      </w:pPr>
      <w:r w:rsidRPr="00CB2AEA">
        <w:t>de la protection sociale complémentaire</w:t>
      </w:r>
      <w:r>
        <w:t> ;</w:t>
      </w:r>
    </w:p>
    <w:p w14:paraId="3F356CC0" w14:textId="4E13002A" w:rsidR="00CB2AEA" w:rsidRPr="00CB2AEA" w:rsidRDefault="00CB2AEA">
      <w:pPr>
        <w:numPr>
          <w:ilvl w:val="0"/>
          <w:numId w:val="2"/>
        </w:numPr>
        <w:spacing w:after="0" w:line="240" w:lineRule="auto"/>
      </w:pPr>
      <w:r w:rsidRPr="00CB2AEA">
        <w:t>de la formation professionnelle</w:t>
      </w:r>
      <w:r>
        <w:t> ;</w:t>
      </w:r>
    </w:p>
    <w:p w14:paraId="7F99D4D8" w14:textId="1B73ED02" w:rsidR="00CB2AEA" w:rsidRPr="00CB2AEA" w:rsidRDefault="00CB2AEA">
      <w:pPr>
        <w:numPr>
          <w:ilvl w:val="0"/>
          <w:numId w:val="2"/>
        </w:numPr>
        <w:spacing w:after="0" w:line="240" w:lineRule="auto"/>
      </w:pPr>
      <w:r w:rsidRPr="00CB2AEA">
        <w:t>du temps de travail</w:t>
      </w:r>
      <w:r>
        <w:t> ;</w:t>
      </w:r>
    </w:p>
    <w:p w14:paraId="4B874D2B" w14:textId="77777777" w:rsidR="00CB2AEA" w:rsidRPr="00CB2AEA" w:rsidRDefault="00CB2AEA">
      <w:pPr>
        <w:numPr>
          <w:ilvl w:val="0"/>
          <w:numId w:val="2"/>
        </w:numPr>
        <w:spacing w:after="0" w:line="240" w:lineRule="auto"/>
      </w:pPr>
      <w:r w:rsidRPr="00CB2AEA">
        <w:t>des différents contrats de travail.</w:t>
      </w:r>
    </w:p>
    <w:p w14:paraId="20A83746" w14:textId="77777777" w:rsidR="00CB2AEA" w:rsidRPr="00CB2AEA" w:rsidRDefault="00CB2AEA" w:rsidP="00CB2AEA">
      <w:pPr>
        <w:spacing w:after="0" w:line="240" w:lineRule="auto"/>
        <w:rPr>
          <w:b/>
          <w:bCs/>
        </w:rPr>
      </w:pPr>
      <w:r w:rsidRPr="00CB2AEA">
        <w:rPr>
          <w:b/>
          <w:bCs/>
        </w:rPr>
        <w:t>L’accord d’entreprise</w:t>
      </w:r>
    </w:p>
    <w:p w14:paraId="705D4B4C" w14:textId="77777777" w:rsidR="00CB2AEA" w:rsidRPr="00CB2AEA" w:rsidRDefault="00CB2AEA" w:rsidP="00CB2AEA">
      <w:pPr>
        <w:spacing w:after="0" w:line="240" w:lineRule="auto"/>
      </w:pPr>
      <w:r w:rsidRPr="00CB2AEA">
        <w:t>L’accord d’entreprise permet d’adapter les règles sociales aux caractéristiques et aux besoins de l’entreprise.</w:t>
      </w:r>
    </w:p>
    <w:p w14:paraId="461E9EC4" w14:textId="6CBAA5BC" w:rsidR="00CB2AEA" w:rsidRPr="00CB2AEA" w:rsidRDefault="00CB2AEA" w:rsidP="00CB2AEA">
      <w:pPr>
        <w:spacing w:after="0" w:line="240" w:lineRule="auto"/>
      </w:pPr>
      <w:r w:rsidRPr="00CB2AEA">
        <w:t>Sa place est aujourd’hui essentielle</w:t>
      </w:r>
      <w:r>
        <w:t> :</w:t>
      </w:r>
      <w:r w:rsidRPr="00CB2AEA">
        <w:t xml:space="preserve"> dans un grand nombre de matières, </w:t>
      </w:r>
      <w:r w:rsidRPr="00CB2AEA">
        <w:rPr>
          <w:b/>
          <w:bCs/>
        </w:rPr>
        <w:t>l’accord d’entreprise peut prévaloir sur l’accord de branche</w:t>
      </w:r>
      <w:r w:rsidRPr="00CB2AEA">
        <w:t>, même lorsqu’il est moins favorable aux salariés. Cette règle connaît toutefois des exceptions importantes étudiées au point 6. (</w:t>
      </w:r>
      <w:hyperlink r:id="rId11" w:tooltip="Article L2253-3 - Code du travail - Légifrance" w:history="1">
        <w:r w:rsidRPr="00CB2AEA">
          <w:rPr>
            <w:rStyle w:val="Lienhypertexte"/>
          </w:rPr>
          <w:t>Légifrance</w:t>
        </w:r>
      </w:hyperlink>
      <w:r w:rsidRPr="00CB2AEA">
        <w:t>)</w:t>
      </w:r>
    </w:p>
    <w:p w14:paraId="1FBD9E4C" w14:textId="77777777" w:rsidR="00CB2AEA" w:rsidRPr="00CB2AEA" w:rsidRDefault="00CB2AEA" w:rsidP="00CB2AEA">
      <w:pPr>
        <w:pStyle w:val="Titre1"/>
      </w:pPr>
      <w:r w:rsidRPr="00CB2AEA">
        <w:t>3. Déterminer la convention collective applicable à l’entreprise</w:t>
      </w:r>
    </w:p>
    <w:p w14:paraId="486E7BF6" w14:textId="77777777" w:rsidR="00CB2AEA" w:rsidRPr="00CB2AEA" w:rsidRDefault="00CB2AEA" w:rsidP="00CB2AEA">
      <w:pPr>
        <w:spacing w:after="0" w:line="240" w:lineRule="auto"/>
      </w:pPr>
      <w:r w:rsidRPr="00CB2AEA">
        <w:t xml:space="preserve">La convention collective applicable est en principe déterminée par </w:t>
      </w:r>
      <w:r w:rsidRPr="00CB2AEA">
        <w:rPr>
          <w:b/>
          <w:bCs/>
        </w:rPr>
        <w:t>l’activité principale effectivement exercée par l’employeur</w:t>
      </w:r>
      <w:r w:rsidRPr="00CB2AEA">
        <w:t>. (</w:t>
      </w:r>
      <w:hyperlink r:id="rId12" w:tooltip="Article L2261-2 - Code du travail" w:history="1">
        <w:r w:rsidRPr="00CB2AEA">
          <w:rPr>
            <w:rStyle w:val="Lienhypertexte"/>
          </w:rPr>
          <w:t>Légifrance</w:t>
        </w:r>
      </w:hyperlink>
      <w:r w:rsidRPr="00CB2AEA">
        <w:t>)</w:t>
      </w:r>
    </w:p>
    <w:p w14:paraId="5196689A" w14:textId="59AEF80B" w:rsidR="00CB2AEA" w:rsidRPr="00CB2AEA" w:rsidRDefault="00CB2AEA" w:rsidP="00CB2AEA">
      <w:pPr>
        <w:spacing w:after="0" w:line="240" w:lineRule="auto"/>
      </w:pPr>
      <w:r w:rsidRPr="00CB2AEA">
        <w:t>Il faut donc examiner</w:t>
      </w:r>
      <w:r>
        <w:t> :</w:t>
      </w:r>
    </w:p>
    <w:tbl>
      <w:tblPr>
        <w:tblStyle w:val="Grilledutableau"/>
        <w:tblW w:w="0" w:type="auto"/>
        <w:tblLook w:val="04A0" w:firstRow="1" w:lastRow="0" w:firstColumn="1" w:lastColumn="0" w:noHBand="0" w:noVBand="1"/>
      </w:tblPr>
      <w:tblGrid>
        <w:gridCol w:w="2196"/>
        <w:gridCol w:w="6257"/>
      </w:tblGrid>
      <w:tr w:rsidR="00CB2AEA" w:rsidRPr="00CB2AEA" w14:paraId="112FA921" w14:textId="77777777" w:rsidTr="00CB2AEA">
        <w:trPr>
          <w:tblHeader/>
        </w:trPr>
        <w:tc>
          <w:tcPr>
            <w:tcW w:w="0" w:type="auto"/>
            <w:hideMark/>
          </w:tcPr>
          <w:p w14:paraId="1237CCCA"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lastRenderedPageBreak/>
              <w:t>Élément</w:t>
            </w:r>
          </w:p>
        </w:tc>
        <w:tc>
          <w:tcPr>
            <w:tcW w:w="0" w:type="auto"/>
            <w:hideMark/>
          </w:tcPr>
          <w:p w14:paraId="01B829FE"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Question</w:t>
            </w:r>
          </w:p>
        </w:tc>
      </w:tr>
      <w:tr w:rsidR="00CB2AEA" w:rsidRPr="00CB2AEA" w14:paraId="122190BD" w14:textId="77777777" w:rsidTr="00CB2AEA">
        <w:tc>
          <w:tcPr>
            <w:tcW w:w="0" w:type="auto"/>
            <w:hideMark/>
          </w:tcPr>
          <w:p w14:paraId="6C77FEC6" w14:textId="77777777" w:rsidR="00CB2AEA" w:rsidRPr="00CB2AEA" w:rsidRDefault="00CB2AEA" w:rsidP="00CB2AEA">
            <w:pPr>
              <w:jc w:val="left"/>
              <w:rPr>
                <w:rFonts w:ascii="Calibri" w:hAnsi="Calibri" w:cs="Calibri"/>
                <w:sz w:val="20"/>
              </w:rPr>
            </w:pPr>
            <w:r w:rsidRPr="00CB2AEA">
              <w:rPr>
                <w:rFonts w:ascii="Calibri" w:hAnsi="Calibri" w:cs="Calibri"/>
                <w:sz w:val="20"/>
              </w:rPr>
              <w:t>Champ professionnel</w:t>
            </w:r>
          </w:p>
        </w:tc>
        <w:tc>
          <w:tcPr>
            <w:tcW w:w="0" w:type="auto"/>
            <w:hideMark/>
          </w:tcPr>
          <w:p w14:paraId="5275F414" w14:textId="6199F474" w:rsidR="00CB2AEA" w:rsidRPr="00CB2AEA" w:rsidRDefault="00CB2AEA" w:rsidP="00CB2AEA">
            <w:pPr>
              <w:jc w:val="left"/>
              <w:rPr>
                <w:rFonts w:ascii="Calibri" w:hAnsi="Calibri" w:cs="Calibri"/>
                <w:sz w:val="20"/>
              </w:rPr>
            </w:pPr>
            <w:r w:rsidRPr="00CB2AEA">
              <w:rPr>
                <w:rFonts w:ascii="Calibri" w:hAnsi="Calibri" w:cs="Calibri"/>
                <w:sz w:val="20"/>
              </w:rPr>
              <w:t>L’activité principale entre-t-elle dans les activités visées par la convention</w:t>
            </w:r>
            <w:r w:rsidRPr="00CB2AEA">
              <w:rPr>
                <w:rFonts w:ascii="Calibri" w:hAnsi="Calibri" w:cs="Calibri"/>
                <w:sz w:val="20"/>
              </w:rPr>
              <w:t> ?</w:t>
            </w:r>
          </w:p>
        </w:tc>
      </w:tr>
      <w:tr w:rsidR="00CB2AEA" w:rsidRPr="00CB2AEA" w14:paraId="1BECDA41" w14:textId="77777777" w:rsidTr="00CB2AEA">
        <w:tc>
          <w:tcPr>
            <w:tcW w:w="0" w:type="auto"/>
            <w:hideMark/>
          </w:tcPr>
          <w:p w14:paraId="2CBA6499" w14:textId="77777777" w:rsidR="00CB2AEA" w:rsidRPr="00CB2AEA" w:rsidRDefault="00CB2AEA" w:rsidP="00CB2AEA">
            <w:pPr>
              <w:jc w:val="left"/>
              <w:rPr>
                <w:rFonts w:ascii="Calibri" w:hAnsi="Calibri" w:cs="Calibri"/>
                <w:sz w:val="20"/>
              </w:rPr>
            </w:pPr>
            <w:r w:rsidRPr="00CB2AEA">
              <w:rPr>
                <w:rFonts w:ascii="Calibri" w:hAnsi="Calibri" w:cs="Calibri"/>
                <w:sz w:val="20"/>
              </w:rPr>
              <w:t>Champ territorial</w:t>
            </w:r>
          </w:p>
        </w:tc>
        <w:tc>
          <w:tcPr>
            <w:tcW w:w="0" w:type="auto"/>
            <w:hideMark/>
          </w:tcPr>
          <w:p w14:paraId="05B2156E" w14:textId="4D94BC93" w:rsidR="00CB2AEA" w:rsidRPr="00CB2AEA" w:rsidRDefault="00CB2AEA" w:rsidP="00CB2AEA">
            <w:pPr>
              <w:jc w:val="left"/>
              <w:rPr>
                <w:rFonts w:ascii="Calibri" w:hAnsi="Calibri" w:cs="Calibri"/>
                <w:sz w:val="20"/>
              </w:rPr>
            </w:pPr>
            <w:r w:rsidRPr="00CB2AEA">
              <w:rPr>
                <w:rFonts w:ascii="Calibri" w:hAnsi="Calibri" w:cs="Calibri"/>
                <w:sz w:val="20"/>
              </w:rPr>
              <w:t>L’entreprise est-elle implantée dans le territoire concerné</w:t>
            </w:r>
            <w:r w:rsidRPr="00CB2AEA">
              <w:rPr>
                <w:rFonts w:ascii="Calibri" w:hAnsi="Calibri" w:cs="Calibri"/>
                <w:sz w:val="20"/>
              </w:rPr>
              <w:t> ?</w:t>
            </w:r>
          </w:p>
        </w:tc>
      </w:tr>
      <w:tr w:rsidR="00CB2AEA" w:rsidRPr="00CB2AEA" w14:paraId="2101D85A" w14:textId="77777777" w:rsidTr="00CB2AEA">
        <w:tc>
          <w:tcPr>
            <w:tcW w:w="0" w:type="auto"/>
            <w:hideMark/>
          </w:tcPr>
          <w:p w14:paraId="687DB96A" w14:textId="77777777" w:rsidR="00CB2AEA" w:rsidRPr="00CB2AEA" w:rsidRDefault="00CB2AEA" w:rsidP="00CB2AEA">
            <w:pPr>
              <w:jc w:val="left"/>
              <w:rPr>
                <w:rFonts w:ascii="Calibri" w:hAnsi="Calibri" w:cs="Calibri"/>
                <w:sz w:val="20"/>
              </w:rPr>
            </w:pPr>
            <w:r w:rsidRPr="00CB2AEA">
              <w:rPr>
                <w:rFonts w:ascii="Calibri" w:hAnsi="Calibri" w:cs="Calibri"/>
                <w:sz w:val="20"/>
              </w:rPr>
              <w:t>Situation de l’employeur</w:t>
            </w:r>
          </w:p>
        </w:tc>
        <w:tc>
          <w:tcPr>
            <w:tcW w:w="0" w:type="auto"/>
            <w:hideMark/>
          </w:tcPr>
          <w:p w14:paraId="3A3F147D" w14:textId="1F2EC70B" w:rsidR="00CB2AEA" w:rsidRPr="00CB2AEA" w:rsidRDefault="00CB2AEA" w:rsidP="00CB2AEA">
            <w:pPr>
              <w:jc w:val="left"/>
              <w:rPr>
                <w:rFonts w:ascii="Calibri" w:hAnsi="Calibri" w:cs="Calibri"/>
                <w:sz w:val="20"/>
              </w:rPr>
            </w:pPr>
            <w:r w:rsidRPr="00CB2AEA">
              <w:rPr>
                <w:rFonts w:ascii="Calibri" w:hAnsi="Calibri" w:cs="Calibri"/>
                <w:sz w:val="20"/>
              </w:rPr>
              <w:t>Est-il directement lié à la convention ou à une organisation signataire</w:t>
            </w:r>
            <w:r w:rsidRPr="00CB2AEA">
              <w:rPr>
                <w:rFonts w:ascii="Calibri" w:hAnsi="Calibri" w:cs="Calibri"/>
                <w:sz w:val="20"/>
              </w:rPr>
              <w:t> ?</w:t>
            </w:r>
          </w:p>
        </w:tc>
      </w:tr>
      <w:tr w:rsidR="00CB2AEA" w:rsidRPr="00CB2AEA" w14:paraId="551CB76A" w14:textId="77777777" w:rsidTr="00CB2AEA">
        <w:tc>
          <w:tcPr>
            <w:tcW w:w="0" w:type="auto"/>
            <w:hideMark/>
          </w:tcPr>
          <w:p w14:paraId="5ED5BF79" w14:textId="77777777" w:rsidR="00CB2AEA" w:rsidRPr="00CB2AEA" w:rsidRDefault="00CB2AEA" w:rsidP="00CB2AEA">
            <w:pPr>
              <w:jc w:val="left"/>
              <w:rPr>
                <w:rFonts w:ascii="Calibri" w:hAnsi="Calibri" w:cs="Calibri"/>
                <w:sz w:val="20"/>
              </w:rPr>
            </w:pPr>
            <w:r w:rsidRPr="00CB2AEA">
              <w:rPr>
                <w:rFonts w:ascii="Calibri" w:hAnsi="Calibri" w:cs="Calibri"/>
                <w:sz w:val="20"/>
              </w:rPr>
              <w:t>Extension éventuelle</w:t>
            </w:r>
          </w:p>
        </w:tc>
        <w:tc>
          <w:tcPr>
            <w:tcW w:w="0" w:type="auto"/>
            <w:hideMark/>
          </w:tcPr>
          <w:p w14:paraId="491F6970" w14:textId="12DC51D5" w:rsidR="00CB2AEA" w:rsidRPr="00CB2AEA" w:rsidRDefault="00CB2AEA" w:rsidP="00CB2AEA">
            <w:pPr>
              <w:jc w:val="left"/>
              <w:rPr>
                <w:rFonts w:ascii="Calibri" w:hAnsi="Calibri" w:cs="Calibri"/>
                <w:sz w:val="20"/>
              </w:rPr>
            </w:pPr>
            <w:r w:rsidRPr="00CB2AEA">
              <w:rPr>
                <w:rFonts w:ascii="Calibri" w:hAnsi="Calibri" w:cs="Calibri"/>
                <w:sz w:val="20"/>
              </w:rPr>
              <w:t>La convention a-t-elle été étendue par arrêté ministériel</w:t>
            </w:r>
            <w:r w:rsidRPr="00CB2AEA">
              <w:rPr>
                <w:rFonts w:ascii="Calibri" w:hAnsi="Calibri" w:cs="Calibri"/>
                <w:sz w:val="20"/>
              </w:rPr>
              <w:t> ?</w:t>
            </w:r>
          </w:p>
        </w:tc>
      </w:tr>
    </w:tbl>
    <w:p w14:paraId="49B55385" w14:textId="77777777" w:rsidR="00CB2AEA" w:rsidRPr="00CB2AEA" w:rsidRDefault="00CB2AEA" w:rsidP="00CB2AEA">
      <w:pPr>
        <w:spacing w:after="0" w:line="240" w:lineRule="auto"/>
      </w:pPr>
      <w:r w:rsidRPr="00CB2AEA">
        <w:t xml:space="preserve">Le </w:t>
      </w:r>
      <w:r w:rsidRPr="00CB2AEA">
        <w:rPr>
          <w:b/>
          <w:bCs/>
        </w:rPr>
        <w:t>code APE (activité principale exercée)</w:t>
      </w:r>
      <w:r w:rsidRPr="00CB2AEA">
        <w:t xml:space="preserve"> peut constituer un indice utile pour effectuer la recherche, mais l’analyse doit porter sur l’activité réellement exercée.</w:t>
      </w:r>
    </w:p>
    <w:p w14:paraId="4C51F260" w14:textId="77777777" w:rsidR="00CB2AEA" w:rsidRPr="00CB2AEA" w:rsidRDefault="00CB2AEA" w:rsidP="00CB2AEA">
      <w:pPr>
        <w:spacing w:after="0" w:line="240" w:lineRule="auto"/>
        <w:rPr>
          <w:b/>
          <w:bCs/>
        </w:rPr>
      </w:pPr>
      <w:r w:rsidRPr="00CB2AEA">
        <w:rPr>
          <w:b/>
          <w:bCs/>
        </w:rPr>
        <w:t>Effet de l’extension</w:t>
      </w:r>
    </w:p>
    <w:p w14:paraId="7ECC3DA3" w14:textId="77777777" w:rsidR="00CB2AEA" w:rsidRPr="00CB2AEA" w:rsidRDefault="00CB2AEA" w:rsidP="00CB2AEA">
      <w:pPr>
        <w:spacing w:after="0" w:line="240" w:lineRule="auto"/>
      </w:pPr>
      <w:r w:rsidRPr="00CB2AEA">
        <w:t>Une convention ou un accord de branche ne s’applique initialement qu'aux employeurs liés par le texte selon les règles du droit de la négociation collective.</w:t>
      </w:r>
    </w:p>
    <w:p w14:paraId="7C65A493" w14:textId="77777777" w:rsidR="00CB2AEA" w:rsidRPr="00CB2AEA" w:rsidRDefault="00CB2AEA" w:rsidP="00CB2AEA">
      <w:pPr>
        <w:spacing w:after="0" w:line="240" w:lineRule="auto"/>
      </w:pPr>
      <w:r w:rsidRPr="00CB2AEA">
        <w:t xml:space="preserve">Un </w:t>
      </w:r>
      <w:r w:rsidRPr="00CB2AEA">
        <w:rPr>
          <w:b/>
          <w:bCs/>
        </w:rPr>
        <w:t>arrêté d’extension</w:t>
      </w:r>
      <w:r w:rsidRPr="00CB2AEA">
        <w:t xml:space="preserve"> du ministre chargé du Travail peut rendre ses dispositions obligatoires pour l’ensemble des entreprises comprises dans son champ professionnel et territorial. Le Code du travail organise cette procédure aux articles L. 2261-15 et suivants. (</w:t>
      </w:r>
      <w:hyperlink r:id="rId13" w:tooltip="Section 7 : Extension et élargissement (Articles L2261-15 à ..." w:history="1">
        <w:r w:rsidRPr="00CB2AEA">
          <w:rPr>
            <w:rStyle w:val="Lienhypertexte"/>
          </w:rPr>
          <w:t>Légifrance</w:t>
        </w:r>
      </w:hyperlink>
      <w:r w:rsidRPr="00CB2AEA">
        <w:t>)</w:t>
      </w:r>
    </w:p>
    <w:p w14:paraId="6267A019" w14:textId="77777777" w:rsidR="00CB2AEA" w:rsidRPr="00CB2AEA" w:rsidRDefault="00CB2AEA" w:rsidP="00CB2AEA">
      <w:pPr>
        <w:pStyle w:val="Titre1"/>
      </w:pPr>
      <w:r w:rsidRPr="00CB2AEA">
        <w:t>4. La conclusion et la validité des accords collectifs</w:t>
      </w:r>
    </w:p>
    <w:p w14:paraId="3C75D34C" w14:textId="77777777" w:rsidR="00CB2AEA" w:rsidRPr="00CB2AEA" w:rsidRDefault="00CB2AEA" w:rsidP="00CB2AEA">
      <w:pPr>
        <w:spacing w:after="0" w:line="240" w:lineRule="auto"/>
        <w:rPr>
          <w:b/>
          <w:bCs/>
        </w:rPr>
      </w:pPr>
      <w:r w:rsidRPr="00CB2AEA">
        <w:rPr>
          <w:b/>
          <w:bCs/>
        </w:rPr>
        <w:t>4.1. L’accord d’entreprise</w:t>
      </w:r>
    </w:p>
    <w:p w14:paraId="0F37D9E3" w14:textId="6145EEE2" w:rsidR="00CB2AEA" w:rsidRPr="00CB2AEA" w:rsidRDefault="00CB2AEA" w:rsidP="00CB2AEA">
      <w:pPr>
        <w:spacing w:after="0" w:line="240" w:lineRule="auto"/>
      </w:pPr>
      <w:r w:rsidRPr="00CB2AEA">
        <w:t xml:space="preserve">Dans une entreprise disposant de délégués syndicaux, l’accord est en principe valable lorsqu’il est signé par l’employeur et par une ou plusieurs organisations syndicales représentatives ayant obtenu </w:t>
      </w:r>
      <w:r w:rsidRPr="00CB2AEA">
        <w:rPr>
          <w:b/>
          <w:bCs/>
        </w:rPr>
        <w:t>plus de 50</w:t>
      </w:r>
      <w:r>
        <w:rPr>
          <w:b/>
          <w:bCs/>
        </w:rPr>
        <w:t> %</w:t>
      </w:r>
      <w:r w:rsidRPr="00CB2AEA">
        <w:rPr>
          <w:b/>
          <w:bCs/>
        </w:rPr>
        <w:t xml:space="preserve"> des suffrages exprimés en faveur des organisations représentatives</w:t>
      </w:r>
      <w:r w:rsidRPr="00CB2AEA">
        <w:t xml:space="preserve"> au premier tour des dernières élections du CSE.</w:t>
      </w:r>
    </w:p>
    <w:p w14:paraId="6CAE93AF" w14:textId="1F4D7188" w:rsidR="00CB2AEA" w:rsidRPr="00CB2AEA" w:rsidRDefault="00CB2AEA" w:rsidP="00CB2AEA">
      <w:pPr>
        <w:spacing w:after="0" w:line="240" w:lineRule="auto"/>
      </w:pPr>
      <w:r w:rsidRPr="00CB2AEA">
        <w:t xml:space="preserve">Lorsque les syndicats signataires représentent </w:t>
      </w:r>
      <w:r w:rsidRPr="00CB2AEA">
        <w:rPr>
          <w:b/>
          <w:bCs/>
        </w:rPr>
        <w:t>plus de 30</w:t>
      </w:r>
      <w:r>
        <w:rPr>
          <w:b/>
          <w:bCs/>
        </w:rPr>
        <w:t> %</w:t>
      </w:r>
      <w:r w:rsidRPr="00CB2AEA">
        <w:rPr>
          <w:b/>
          <w:bCs/>
        </w:rPr>
        <w:t xml:space="preserve"> mais pas plus de 50</w:t>
      </w:r>
      <w:r>
        <w:rPr>
          <w:b/>
          <w:bCs/>
        </w:rPr>
        <w:t> %</w:t>
      </w:r>
      <w:r w:rsidRPr="00CB2AEA">
        <w:t>, une consultation des salariés peut permettre de valider l’accord. Celui-ci doit alors être approuvé à la majorité des suffrages exprimés. (</w:t>
      </w:r>
      <w:hyperlink r:id="rId14" w:tooltip="Article L2232-12 - Code du travail - Légifrance" w:history="1">
        <w:r w:rsidRPr="00CB2AEA">
          <w:rPr>
            <w:rStyle w:val="Lienhypertexte"/>
          </w:rPr>
          <w:t>Légifrance</w:t>
        </w:r>
      </w:hyperlink>
      <w:r w:rsidRPr="00CB2AEA">
        <w:t>)</w:t>
      </w:r>
    </w:p>
    <w:tbl>
      <w:tblPr>
        <w:tblStyle w:val="Grilledutableau"/>
        <w:tblW w:w="0" w:type="auto"/>
        <w:tblLook w:val="04A0" w:firstRow="1" w:lastRow="0" w:firstColumn="1" w:lastColumn="0" w:noHBand="0" w:noVBand="1"/>
      </w:tblPr>
      <w:tblGrid>
        <w:gridCol w:w="3074"/>
        <w:gridCol w:w="4083"/>
      </w:tblGrid>
      <w:tr w:rsidR="00CB2AEA" w:rsidRPr="00CB2AEA" w14:paraId="7329768E" w14:textId="77777777" w:rsidTr="00CB2AEA">
        <w:trPr>
          <w:tblHeader/>
        </w:trPr>
        <w:tc>
          <w:tcPr>
            <w:tcW w:w="0" w:type="auto"/>
            <w:hideMark/>
          </w:tcPr>
          <w:p w14:paraId="00647F96"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Audience des syndicats signataires</w:t>
            </w:r>
          </w:p>
        </w:tc>
        <w:tc>
          <w:tcPr>
            <w:tcW w:w="0" w:type="auto"/>
            <w:hideMark/>
          </w:tcPr>
          <w:p w14:paraId="2A7F5D42"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Conséquence</w:t>
            </w:r>
          </w:p>
        </w:tc>
      </w:tr>
      <w:tr w:rsidR="00CB2AEA" w:rsidRPr="00CB2AEA" w14:paraId="5AB5748F" w14:textId="77777777" w:rsidTr="00CB2AEA">
        <w:tc>
          <w:tcPr>
            <w:tcW w:w="0" w:type="auto"/>
            <w:hideMark/>
          </w:tcPr>
          <w:p w14:paraId="18B61C0D" w14:textId="7211A27B" w:rsidR="00CB2AEA" w:rsidRPr="00CB2AEA" w:rsidRDefault="00CB2AEA" w:rsidP="00CB2AEA">
            <w:pPr>
              <w:jc w:val="left"/>
              <w:rPr>
                <w:rFonts w:ascii="Calibri" w:hAnsi="Calibri" w:cs="Calibri"/>
                <w:sz w:val="20"/>
              </w:rPr>
            </w:pPr>
            <w:r w:rsidRPr="00CB2AEA">
              <w:rPr>
                <w:rFonts w:ascii="Calibri" w:hAnsi="Calibri" w:cs="Calibri"/>
                <w:b/>
                <w:bCs/>
                <w:sz w:val="20"/>
              </w:rPr>
              <w:t>Plus de 50</w:t>
            </w:r>
            <w:r w:rsidRPr="00CB2AEA">
              <w:rPr>
                <w:rFonts w:ascii="Calibri" w:hAnsi="Calibri" w:cs="Calibri"/>
                <w:b/>
                <w:bCs/>
                <w:sz w:val="20"/>
              </w:rPr>
              <w:t> %</w:t>
            </w:r>
          </w:p>
        </w:tc>
        <w:tc>
          <w:tcPr>
            <w:tcW w:w="0" w:type="auto"/>
            <w:hideMark/>
          </w:tcPr>
          <w:p w14:paraId="1D5ED8F2" w14:textId="37BAC7C8" w:rsidR="00CB2AEA" w:rsidRPr="00CB2AEA" w:rsidRDefault="00CB2AEA" w:rsidP="00CB2AEA">
            <w:pPr>
              <w:jc w:val="left"/>
              <w:rPr>
                <w:rFonts w:ascii="Calibri" w:hAnsi="Calibri" w:cs="Calibri"/>
                <w:sz w:val="20"/>
              </w:rPr>
            </w:pPr>
            <w:r w:rsidRPr="00CB2AEA">
              <w:rPr>
                <w:rFonts w:ascii="Calibri" w:hAnsi="Calibri" w:cs="Calibri"/>
                <w:sz w:val="20"/>
              </w:rPr>
              <w:t>Accord majoritaire</w:t>
            </w:r>
            <w:r w:rsidRPr="00CB2AEA">
              <w:rPr>
                <w:rFonts w:ascii="Calibri" w:hAnsi="Calibri" w:cs="Calibri"/>
                <w:sz w:val="20"/>
              </w:rPr>
              <w:t> :</w:t>
            </w:r>
            <w:r w:rsidRPr="00CB2AEA">
              <w:rPr>
                <w:rFonts w:ascii="Calibri" w:hAnsi="Calibri" w:cs="Calibri"/>
                <w:sz w:val="20"/>
              </w:rPr>
              <w:t xml:space="preserve"> validité</w:t>
            </w:r>
          </w:p>
        </w:tc>
      </w:tr>
      <w:tr w:rsidR="00CB2AEA" w:rsidRPr="00CB2AEA" w14:paraId="3DBC26B2" w14:textId="77777777" w:rsidTr="00CB2AEA">
        <w:tc>
          <w:tcPr>
            <w:tcW w:w="0" w:type="auto"/>
            <w:hideMark/>
          </w:tcPr>
          <w:p w14:paraId="7E457813" w14:textId="75807BBA" w:rsidR="00CB2AEA" w:rsidRPr="00CB2AEA" w:rsidRDefault="00CB2AEA" w:rsidP="00CB2AEA">
            <w:pPr>
              <w:jc w:val="left"/>
              <w:rPr>
                <w:rFonts w:ascii="Calibri" w:hAnsi="Calibri" w:cs="Calibri"/>
                <w:sz w:val="20"/>
              </w:rPr>
            </w:pPr>
            <w:r w:rsidRPr="00CB2AEA">
              <w:rPr>
                <w:rFonts w:ascii="Calibri" w:hAnsi="Calibri" w:cs="Calibri"/>
                <w:b/>
                <w:bCs/>
                <w:sz w:val="20"/>
              </w:rPr>
              <w:t>Plus de 30</w:t>
            </w:r>
            <w:r w:rsidRPr="00CB2AEA">
              <w:rPr>
                <w:rFonts w:ascii="Calibri" w:hAnsi="Calibri" w:cs="Calibri"/>
                <w:b/>
                <w:bCs/>
                <w:sz w:val="20"/>
              </w:rPr>
              <w:t> %</w:t>
            </w:r>
            <w:r w:rsidRPr="00CB2AEA">
              <w:rPr>
                <w:rFonts w:ascii="Calibri" w:hAnsi="Calibri" w:cs="Calibri"/>
                <w:b/>
                <w:bCs/>
                <w:sz w:val="20"/>
              </w:rPr>
              <w:t xml:space="preserve"> à 50</w:t>
            </w:r>
            <w:r w:rsidRPr="00CB2AEA">
              <w:rPr>
                <w:rFonts w:ascii="Calibri" w:hAnsi="Calibri" w:cs="Calibri"/>
                <w:b/>
                <w:bCs/>
                <w:sz w:val="20"/>
              </w:rPr>
              <w:t> %</w:t>
            </w:r>
          </w:p>
        </w:tc>
        <w:tc>
          <w:tcPr>
            <w:tcW w:w="0" w:type="auto"/>
            <w:hideMark/>
          </w:tcPr>
          <w:p w14:paraId="4A1C60D8" w14:textId="77777777" w:rsidR="00CB2AEA" w:rsidRPr="00CB2AEA" w:rsidRDefault="00CB2AEA" w:rsidP="00CB2AEA">
            <w:pPr>
              <w:jc w:val="left"/>
              <w:rPr>
                <w:rFonts w:ascii="Calibri" w:hAnsi="Calibri" w:cs="Calibri"/>
                <w:sz w:val="20"/>
              </w:rPr>
            </w:pPr>
            <w:r w:rsidRPr="00CB2AEA">
              <w:rPr>
                <w:rFonts w:ascii="Calibri" w:hAnsi="Calibri" w:cs="Calibri"/>
                <w:sz w:val="20"/>
              </w:rPr>
              <w:t>Validation possible par consultation des salariés</w:t>
            </w:r>
          </w:p>
        </w:tc>
      </w:tr>
      <w:tr w:rsidR="00CB2AEA" w:rsidRPr="00CB2AEA" w14:paraId="34309426" w14:textId="77777777" w:rsidTr="00CB2AEA">
        <w:tc>
          <w:tcPr>
            <w:tcW w:w="0" w:type="auto"/>
            <w:hideMark/>
          </w:tcPr>
          <w:p w14:paraId="7625478A" w14:textId="6C31AF39" w:rsidR="00CB2AEA" w:rsidRPr="00CB2AEA" w:rsidRDefault="00CB2AEA" w:rsidP="00CB2AEA">
            <w:pPr>
              <w:jc w:val="left"/>
              <w:rPr>
                <w:rFonts w:ascii="Calibri" w:hAnsi="Calibri" w:cs="Calibri"/>
                <w:sz w:val="20"/>
              </w:rPr>
            </w:pPr>
            <w:r w:rsidRPr="00CB2AEA">
              <w:rPr>
                <w:rFonts w:ascii="Calibri" w:hAnsi="Calibri" w:cs="Calibri"/>
                <w:b/>
                <w:bCs/>
                <w:sz w:val="20"/>
              </w:rPr>
              <w:t>30</w:t>
            </w:r>
            <w:r w:rsidRPr="00CB2AEA">
              <w:rPr>
                <w:rFonts w:ascii="Calibri" w:hAnsi="Calibri" w:cs="Calibri"/>
                <w:b/>
                <w:bCs/>
                <w:sz w:val="20"/>
              </w:rPr>
              <w:t> %</w:t>
            </w:r>
            <w:r w:rsidRPr="00CB2AEA">
              <w:rPr>
                <w:rFonts w:ascii="Calibri" w:hAnsi="Calibri" w:cs="Calibri"/>
                <w:b/>
                <w:bCs/>
                <w:sz w:val="20"/>
              </w:rPr>
              <w:t xml:space="preserve"> ou moins</w:t>
            </w:r>
          </w:p>
        </w:tc>
        <w:tc>
          <w:tcPr>
            <w:tcW w:w="0" w:type="auto"/>
            <w:hideMark/>
          </w:tcPr>
          <w:p w14:paraId="0F3660E9" w14:textId="77777777" w:rsidR="00CB2AEA" w:rsidRPr="00CB2AEA" w:rsidRDefault="00CB2AEA" w:rsidP="00CB2AEA">
            <w:pPr>
              <w:jc w:val="left"/>
              <w:rPr>
                <w:rFonts w:ascii="Calibri" w:hAnsi="Calibri" w:cs="Calibri"/>
                <w:sz w:val="20"/>
              </w:rPr>
            </w:pPr>
            <w:r w:rsidRPr="00CB2AEA">
              <w:rPr>
                <w:rFonts w:ascii="Calibri" w:hAnsi="Calibri" w:cs="Calibri"/>
                <w:sz w:val="20"/>
              </w:rPr>
              <w:t>Accord non validable selon ce mécanisme</w:t>
            </w:r>
          </w:p>
        </w:tc>
      </w:tr>
    </w:tbl>
    <w:p w14:paraId="46B056E9" w14:textId="77777777" w:rsidR="00CB2AEA" w:rsidRPr="00CB2AEA" w:rsidRDefault="00CB2AEA" w:rsidP="00CB2AEA">
      <w:pPr>
        <w:spacing w:after="0" w:line="240" w:lineRule="auto"/>
        <w:rPr>
          <w:b/>
          <w:bCs/>
        </w:rPr>
      </w:pPr>
      <w:r w:rsidRPr="00CB2AEA">
        <w:rPr>
          <w:b/>
          <w:bCs/>
        </w:rPr>
        <w:t>4.2. Les accords de branche et interprofessionnels</w:t>
      </w:r>
    </w:p>
    <w:p w14:paraId="76031211" w14:textId="75823643" w:rsidR="00CB2AEA" w:rsidRPr="00CB2AEA" w:rsidRDefault="00CB2AEA" w:rsidP="00CB2AEA">
      <w:pPr>
        <w:spacing w:after="0" w:line="240" w:lineRule="auto"/>
      </w:pPr>
      <w:r w:rsidRPr="00CB2AEA">
        <w:t>Pour les accords interprofessionnels et les conventions ou accords de branche, la règle repose sur</w:t>
      </w:r>
      <w:r>
        <w:t> :</w:t>
      </w:r>
    </w:p>
    <w:p w14:paraId="6ED905D1" w14:textId="545B807F" w:rsidR="00CB2AEA" w:rsidRPr="00CB2AEA" w:rsidRDefault="00CB2AEA" w:rsidP="00CB2AEA">
      <w:pPr>
        <w:spacing w:after="0" w:line="240" w:lineRule="auto"/>
      </w:pPr>
      <w:r w:rsidRPr="00CB2AEA">
        <w:rPr>
          <w:b/>
          <w:bCs/>
        </w:rPr>
        <w:t>signature par des syndicats représentatifs ayant obtenu au moins 30</w:t>
      </w:r>
      <w:r>
        <w:rPr>
          <w:b/>
          <w:bCs/>
        </w:rPr>
        <w:t> %</w:t>
      </w:r>
      <w:r w:rsidRPr="00CB2AEA">
        <w:rPr>
          <w:b/>
          <w:bCs/>
        </w:rPr>
        <w:t xml:space="preserve"> des suffrages + absence d’opposition des syndicats représentatifs majoritaires.</w:t>
      </w:r>
      <w:r w:rsidRPr="00CB2AEA">
        <w:t xml:space="preserve"> (</w:t>
      </w:r>
      <w:hyperlink r:id="rId15" w:tooltip="Section 1 : Accords interprofessionnels. (Articles L2232-1 à ..." w:history="1">
        <w:r w:rsidRPr="00CB2AEA">
          <w:rPr>
            <w:rStyle w:val="Lienhypertexte"/>
          </w:rPr>
          <w:t>Légifrance</w:t>
        </w:r>
      </w:hyperlink>
      <w:r w:rsidRPr="00CB2AEA">
        <w:t>)</w:t>
      </w:r>
    </w:p>
    <w:p w14:paraId="16C115A5" w14:textId="77777777" w:rsidR="00CB2AEA" w:rsidRPr="00CB2AEA" w:rsidRDefault="00CB2AEA" w:rsidP="00CB2AEA">
      <w:pPr>
        <w:pStyle w:val="Titre1"/>
      </w:pPr>
      <w:r w:rsidRPr="00CB2AEA">
        <w:t>5. La vie d’une convention ou d’un accord collectif</w:t>
      </w:r>
    </w:p>
    <w:p w14:paraId="08681204" w14:textId="77777777" w:rsidR="00CB2AEA" w:rsidRPr="00CB2AEA" w:rsidRDefault="00CB2AEA" w:rsidP="00CB2AEA">
      <w:pPr>
        <w:spacing w:after="0" w:line="240" w:lineRule="auto"/>
        <w:rPr>
          <w:b/>
          <w:bCs/>
        </w:rPr>
      </w:pPr>
      <w:r w:rsidRPr="00CB2AEA">
        <w:rPr>
          <w:b/>
          <w:bCs/>
        </w:rPr>
        <w:t>5.1. La durée</w:t>
      </w:r>
    </w:p>
    <w:p w14:paraId="1B87EA56" w14:textId="0A9B6AE7" w:rsidR="00CB2AEA" w:rsidRPr="00CB2AEA" w:rsidRDefault="00CB2AEA" w:rsidP="00CB2AEA">
      <w:pPr>
        <w:spacing w:after="0" w:line="240" w:lineRule="auto"/>
      </w:pPr>
      <w:r w:rsidRPr="00CB2AEA">
        <w:t>Une convention ou un accord peut être conclu</w:t>
      </w:r>
      <w:r>
        <w:t> :</w:t>
      </w:r>
    </w:p>
    <w:p w14:paraId="4835B8A3" w14:textId="55B73B72" w:rsidR="00CB2AEA" w:rsidRPr="00CB2AEA" w:rsidRDefault="00CB2AEA">
      <w:pPr>
        <w:numPr>
          <w:ilvl w:val="0"/>
          <w:numId w:val="3"/>
        </w:numPr>
        <w:spacing w:after="0" w:line="240" w:lineRule="auto"/>
      </w:pPr>
      <w:r w:rsidRPr="00CB2AEA">
        <w:t>pour une durée déterminée</w:t>
      </w:r>
      <w:r>
        <w:t> ;</w:t>
      </w:r>
    </w:p>
    <w:p w14:paraId="4FF9256C" w14:textId="77777777" w:rsidR="00CB2AEA" w:rsidRPr="00CB2AEA" w:rsidRDefault="00CB2AEA">
      <w:pPr>
        <w:numPr>
          <w:ilvl w:val="0"/>
          <w:numId w:val="3"/>
        </w:numPr>
        <w:spacing w:after="0" w:line="240" w:lineRule="auto"/>
      </w:pPr>
      <w:r w:rsidRPr="00CB2AEA">
        <w:t>pour une durée indéterminée.</w:t>
      </w:r>
    </w:p>
    <w:p w14:paraId="241D82C4" w14:textId="77777777" w:rsidR="00CB2AEA" w:rsidRPr="00CB2AEA" w:rsidRDefault="00CB2AEA" w:rsidP="00CB2AEA">
      <w:pPr>
        <w:spacing w:after="0" w:line="240" w:lineRule="auto"/>
      </w:pPr>
      <w:r w:rsidRPr="00CB2AEA">
        <w:t xml:space="preserve">Lorsque le texte ne précise aucune durée, sa durée est fixée par la loi à </w:t>
      </w:r>
      <w:r w:rsidRPr="00CB2AEA">
        <w:rPr>
          <w:b/>
          <w:bCs/>
        </w:rPr>
        <w:t>cinq ans</w:t>
      </w:r>
      <w:r w:rsidRPr="00CB2AEA">
        <w:t>. À l’arrivée du terme d’un accord à durée déterminée, celui-ci cesse de produire ses effets. (</w:t>
      </w:r>
      <w:hyperlink r:id="rId16" w:tooltip="Code du travail - Article L2222-4" w:history="1">
        <w:r w:rsidRPr="00CB2AEA">
          <w:rPr>
            <w:rStyle w:val="Lienhypertexte"/>
          </w:rPr>
          <w:t>Légifrance</w:t>
        </w:r>
      </w:hyperlink>
      <w:r w:rsidRPr="00CB2AEA">
        <w:t>)</w:t>
      </w:r>
    </w:p>
    <w:p w14:paraId="1B2E6D93" w14:textId="77777777" w:rsidR="00CB2AEA" w:rsidRPr="00CB2AEA" w:rsidRDefault="00CB2AEA" w:rsidP="00CB2AEA">
      <w:pPr>
        <w:spacing w:after="0" w:line="240" w:lineRule="auto"/>
        <w:rPr>
          <w:b/>
          <w:bCs/>
        </w:rPr>
      </w:pPr>
      <w:r w:rsidRPr="00CB2AEA">
        <w:rPr>
          <w:b/>
          <w:bCs/>
        </w:rPr>
        <w:t>5.2. La révision</w:t>
      </w:r>
    </w:p>
    <w:p w14:paraId="5F2E681B" w14:textId="77777777" w:rsidR="00CB2AEA" w:rsidRPr="00CB2AEA" w:rsidRDefault="00CB2AEA" w:rsidP="00CB2AEA">
      <w:pPr>
        <w:spacing w:after="0" w:line="240" w:lineRule="auto"/>
      </w:pPr>
      <w:r w:rsidRPr="00CB2AEA">
        <w:t xml:space="preserve">La </w:t>
      </w:r>
      <w:r w:rsidRPr="00CB2AEA">
        <w:rPr>
          <w:b/>
          <w:bCs/>
        </w:rPr>
        <w:t>révision</w:t>
      </w:r>
      <w:r w:rsidRPr="00CB2AEA">
        <w:t xml:space="preserve"> permet de modifier tout ou partie d’une convention ou d’un accord existant.</w:t>
      </w:r>
    </w:p>
    <w:p w14:paraId="125CCD7F" w14:textId="77777777" w:rsidR="00CB2AEA" w:rsidRPr="00CB2AEA" w:rsidRDefault="00CB2AEA" w:rsidP="00CB2AEA">
      <w:pPr>
        <w:spacing w:after="0" w:line="240" w:lineRule="auto"/>
      </w:pPr>
      <w:r w:rsidRPr="00CB2AEA">
        <w:t xml:space="preserve">Elle donne lieu à un </w:t>
      </w:r>
      <w:r w:rsidRPr="00CB2AEA">
        <w:rPr>
          <w:b/>
          <w:bCs/>
        </w:rPr>
        <w:t>avenant de révision</w:t>
      </w:r>
      <w:r w:rsidRPr="00CB2AEA">
        <w:t>. Lorsqu’il entre en vigueur, cet avenant se substitue aux stipulations qu’il modifie. (</w:t>
      </w:r>
      <w:hyperlink r:id="rId17" w:tooltip="Les conventions et accords collectifs de travail (Articles ..." w:history="1">
        <w:r w:rsidRPr="00CB2AEA">
          <w:rPr>
            <w:rStyle w:val="Lienhypertexte"/>
          </w:rPr>
          <w:t>Légifrance</w:t>
        </w:r>
      </w:hyperlink>
      <w:r w:rsidRPr="00CB2AEA">
        <w:t>)</w:t>
      </w:r>
    </w:p>
    <w:p w14:paraId="0D443404" w14:textId="77777777" w:rsidR="00CB2AEA" w:rsidRPr="00CB2AEA" w:rsidRDefault="00CB2AEA" w:rsidP="00CB2AEA">
      <w:pPr>
        <w:spacing w:after="0" w:line="240" w:lineRule="auto"/>
        <w:rPr>
          <w:b/>
          <w:bCs/>
        </w:rPr>
      </w:pPr>
      <w:r w:rsidRPr="00CB2AEA">
        <w:rPr>
          <w:b/>
          <w:bCs/>
        </w:rPr>
        <w:t>5.3. La dénonciation</w:t>
      </w:r>
    </w:p>
    <w:p w14:paraId="0C8C3DBF" w14:textId="77777777" w:rsidR="00CB2AEA" w:rsidRPr="00CB2AEA" w:rsidRDefault="00CB2AEA" w:rsidP="00CB2AEA">
      <w:pPr>
        <w:spacing w:after="0" w:line="240" w:lineRule="auto"/>
      </w:pPr>
      <w:r w:rsidRPr="00CB2AEA">
        <w:t xml:space="preserve">La </w:t>
      </w:r>
      <w:r w:rsidRPr="00CB2AEA">
        <w:rPr>
          <w:b/>
          <w:bCs/>
        </w:rPr>
        <w:t>dénonciation</w:t>
      </w:r>
      <w:r w:rsidRPr="00CB2AEA">
        <w:t xml:space="preserve"> permet de mettre fin à une convention ou à un accord à durée indéterminée.</w:t>
      </w:r>
    </w:p>
    <w:p w14:paraId="7B297604" w14:textId="77777777" w:rsidR="00CB2AEA" w:rsidRPr="00CB2AEA" w:rsidRDefault="00CB2AEA" w:rsidP="00CB2AEA">
      <w:pPr>
        <w:spacing w:after="0" w:line="240" w:lineRule="auto"/>
      </w:pPr>
      <w:r w:rsidRPr="00CB2AEA">
        <w:t xml:space="preserve">Sauf disposition différente prévue par le texte, elle est précédée d’un </w:t>
      </w:r>
      <w:r w:rsidRPr="00CB2AEA">
        <w:rPr>
          <w:b/>
          <w:bCs/>
        </w:rPr>
        <w:t>préavis de trois mois</w:t>
      </w:r>
      <w:r w:rsidRPr="00CB2AEA">
        <w:t>. Elle doit être notifiée aux autres signataires et déposée selon les règles applicables. (</w:t>
      </w:r>
      <w:hyperlink r:id="rId18" w:tooltip="Titre VI : Application des conventions et accords collectifs ..." w:history="1">
        <w:r w:rsidRPr="00CB2AEA">
          <w:rPr>
            <w:rStyle w:val="Lienhypertexte"/>
          </w:rPr>
          <w:t>Légifrance</w:t>
        </w:r>
      </w:hyperlink>
      <w:r w:rsidRPr="00CB2AEA">
        <w:t>)</w:t>
      </w:r>
    </w:p>
    <w:p w14:paraId="00A1690C" w14:textId="77777777" w:rsidR="00CB2AEA" w:rsidRPr="00CB2AEA" w:rsidRDefault="00CB2AEA" w:rsidP="00CB2AEA">
      <w:pPr>
        <w:spacing w:after="0" w:line="240" w:lineRule="auto"/>
      </w:pPr>
      <w:r w:rsidRPr="00CB2AEA">
        <w:t xml:space="preserve">Lorsque la dénonciation émane de la totalité des signataires employeurs ou salariés, le texte continue à produire ses effets jusqu’à l’entrée en vigueur d’un accord de substitution ou, à défaut, pendant </w:t>
      </w:r>
      <w:r w:rsidRPr="00CB2AEA">
        <w:rPr>
          <w:b/>
          <w:bCs/>
        </w:rPr>
        <w:t>un an après l’expiration du préavis</w:t>
      </w:r>
      <w:r w:rsidRPr="00CB2AEA">
        <w:t>, sauf durée supérieure prévue par le texte. (</w:t>
      </w:r>
      <w:hyperlink r:id="rId19" w:tooltip="Les conventions et accords collectifs de travail (Articles ..." w:history="1">
        <w:r w:rsidRPr="00CB2AEA">
          <w:rPr>
            <w:rStyle w:val="Lienhypertexte"/>
          </w:rPr>
          <w:t>Légifrance</w:t>
        </w:r>
      </w:hyperlink>
      <w:r w:rsidRPr="00CB2AEA">
        <w:t>)</w:t>
      </w:r>
    </w:p>
    <w:p w14:paraId="4B47B2EC" w14:textId="77777777" w:rsidR="00CB2AEA" w:rsidRPr="00CB2AEA" w:rsidRDefault="00CB2AEA" w:rsidP="00CB2AEA">
      <w:pPr>
        <w:spacing w:after="0" w:line="240" w:lineRule="auto"/>
        <w:rPr>
          <w:b/>
          <w:bCs/>
        </w:rPr>
      </w:pPr>
      <w:r w:rsidRPr="00CB2AEA">
        <w:rPr>
          <w:b/>
          <w:bCs/>
        </w:rPr>
        <w:t>5.4. Extension et élargissement</w:t>
      </w:r>
    </w:p>
    <w:tbl>
      <w:tblPr>
        <w:tblStyle w:val="Grilledutableau"/>
        <w:tblW w:w="0" w:type="auto"/>
        <w:tblLook w:val="04A0" w:firstRow="1" w:lastRow="0" w:firstColumn="1" w:lastColumn="0" w:noHBand="0" w:noVBand="1"/>
      </w:tblPr>
      <w:tblGrid>
        <w:gridCol w:w="1373"/>
        <w:gridCol w:w="9083"/>
      </w:tblGrid>
      <w:tr w:rsidR="00CB2AEA" w:rsidRPr="00CB2AEA" w14:paraId="197F561E" w14:textId="77777777" w:rsidTr="00CB2AEA">
        <w:trPr>
          <w:tblHeader/>
        </w:trPr>
        <w:tc>
          <w:tcPr>
            <w:tcW w:w="0" w:type="auto"/>
            <w:hideMark/>
          </w:tcPr>
          <w:p w14:paraId="18A7DF1B"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lastRenderedPageBreak/>
              <w:t>Mécanisme</w:t>
            </w:r>
          </w:p>
        </w:tc>
        <w:tc>
          <w:tcPr>
            <w:tcW w:w="0" w:type="auto"/>
            <w:hideMark/>
          </w:tcPr>
          <w:p w14:paraId="7B26C5CD"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Effet</w:t>
            </w:r>
          </w:p>
        </w:tc>
      </w:tr>
      <w:tr w:rsidR="00CB2AEA" w:rsidRPr="00CB2AEA" w14:paraId="2E923F88" w14:textId="77777777" w:rsidTr="00CB2AEA">
        <w:tc>
          <w:tcPr>
            <w:tcW w:w="0" w:type="auto"/>
            <w:hideMark/>
          </w:tcPr>
          <w:p w14:paraId="45176E20" w14:textId="77777777" w:rsidR="00CB2AEA" w:rsidRPr="00CB2AEA" w:rsidRDefault="00CB2AEA" w:rsidP="00CB2AEA">
            <w:pPr>
              <w:jc w:val="left"/>
              <w:rPr>
                <w:rFonts w:ascii="Calibri" w:hAnsi="Calibri" w:cs="Calibri"/>
                <w:sz w:val="20"/>
              </w:rPr>
            </w:pPr>
            <w:r w:rsidRPr="00CB2AEA">
              <w:rPr>
                <w:rFonts w:ascii="Calibri" w:hAnsi="Calibri" w:cs="Calibri"/>
                <w:b/>
                <w:bCs/>
                <w:sz w:val="20"/>
              </w:rPr>
              <w:t>Extension</w:t>
            </w:r>
          </w:p>
        </w:tc>
        <w:tc>
          <w:tcPr>
            <w:tcW w:w="0" w:type="auto"/>
            <w:hideMark/>
          </w:tcPr>
          <w:p w14:paraId="2EE8A86E" w14:textId="77777777" w:rsidR="00CB2AEA" w:rsidRPr="00CB2AEA" w:rsidRDefault="00CB2AEA" w:rsidP="00CB2AEA">
            <w:pPr>
              <w:jc w:val="left"/>
              <w:rPr>
                <w:rFonts w:ascii="Calibri" w:hAnsi="Calibri" w:cs="Calibri"/>
                <w:sz w:val="20"/>
              </w:rPr>
            </w:pPr>
            <w:r w:rsidRPr="00CB2AEA">
              <w:rPr>
                <w:rFonts w:ascii="Calibri" w:hAnsi="Calibri" w:cs="Calibri"/>
                <w:sz w:val="20"/>
              </w:rPr>
              <w:t>Rend une convention ou un accord obligatoire pour les entreprises entrant dans son champ professionnel et territorial</w:t>
            </w:r>
          </w:p>
        </w:tc>
      </w:tr>
      <w:tr w:rsidR="00CB2AEA" w:rsidRPr="00CB2AEA" w14:paraId="4FD9A6B0" w14:textId="77777777" w:rsidTr="00CB2AEA">
        <w:tc>
          <w:tcPr>
            <w:tcW w:w="0" w:type="auto"/>
            <w:hideMark/>
          </w:tcPr>
          <w:p w14:paraId="3B9C0765" w14:textId="77777777" w:rsidR="00CB2AEA" w:rsidRPr="00CB2AEA" w:rsidRDefault="00CB2AEA" w:rsidP="00CB2AEA">
            <w:pPr>
              <w:jc w:val="left"/>
              <w:rPr>
                <w:rFonts w:ascii="Calibri" w:hAnsi="Calibri" w:cs="Calibri"/>
                <w:sz w:val="20"/>
              </w:rPr>
            </w:pPr>
            <w:r w:rsidRPr="00CB2AEA">
              <w:rPr>
                <w:rFonts w:ascii="Calibri" w:hAnsi="Calibri" w:cs="Calibri"/>
                <w:b/>
                <w:bCs/>
                <w:sz w:val="20"/>
              </w:rPr>
              <w:t>Élargissement</w:t>
            </w:r>
          </w:p>
        </w:tc>
        <w:tc>
          <w:tcPr>
            <w:tcW w:w="0" w:type="auto"/>
            <w:hideMark/>
          </w:tcPr>
          <w:p w14:paraId="6BD47000" w14:textId="77777777" w:rsidR="00CB2AEA" w:rsidRPr="00CB2AEA" w:rsidRDefault="00CB2AEA" w:rsidP="00CB2AEA">
            <w:pPr>
              <w:jc w:val="left"/>
              <w:rPr>
                <w:rFonts w:ascii="Calibri" w:hAnsi="Calibri" w:cs="Calibri"/>
                <w:sz w:val="20"/>
              </w:rPr>
            </w:pPr>
            <w:r w:rsidRPr="00CB2AEA">
              <w:rPr>
                <w:rFonts w:ascii="Calibri" w:hAnsi="Calibri" w:cs="Calibri"/>
                <w:sz w:val="20"/>
              </w:rPr>
              <w:t>Étend un texte déjà étendu à un autre secteur professionnel ou territorial dans les conditions prévues par la loi</w:t>
            </w:r>
          </w:p>
        </w:tc>
      </w:tr>
    </w:tbl>
    <w:p w14:paraId="6BDC7CFC" w14:textId="026BEC4B" w:rsidR="00CB2AEA" w:rsidRPr="00CB2AEA" w:rsidRDefault="00CB2AEA" w:rsidP="00CB2AEA">
      <w:pPr>
        <w:spacing w:after="0" w:line="240" w:lineRule="auto"/>
      </w:pPr>
      <w:r w:rsidRPr="00CB2AEA">
        <w:t>L’élargissement peut notamment être utilisé lorsqu’une branche ou un secteur connaît une impossibilité persistante de conclure un accord</w:t>
      </w:r>
      <w:r>
        <w:t> ;</w:t>
      </w:r>
      <w:r w:rsidRPr="00CB2AEA">
        <w:t xml:space="preserve"> le ministre peut alors, sous conditions, rendre applicable un texte déjà étendu dans un secteur analogue. (</w:t>
      </w:r>
      <w:hyperlink r:id="rId20" w:tooltip="Section 7 : Extension et élargissement (Articles L2261-15 à ..." w:history="1">
        <w:r w:rsidRPr="00CB2AEA">
          <w:rPr>
            <w:rStyle w:val="Lienhypertexte"/>
          </w:rPr>
          <w:t>Légifrance</w:t>
        </w:r>
      </w:hyperlink>
      <w:r w:rsidRPr="00CB2AEA">
        <w:t>)</w:t>
      </w:r>
    </w:p>
    <w:p w14:paraId="04B3C197" w14:textId="77777777" w:rsidR="00CB2AEA" w:rsidRPr="00CB2AEA" w:rsidRDefault="00CB2AEA" w:rsidP="00CB2AEA">
      <w:pPr>
        <w:pStyle w:val="Titre1"/>
      </w:pPr>
      <w:r w:rsidRPr="00CB2AEA">
        <w:t>6. L’articulation entre la loi, la branche et l’entreprise</w:t>
      </w:r>
    </w:p>
    <w:p w14:paraId="7F168303" w14:textId="77777777" w:rsidR="00CB2AEA" w:rsidRPr="00CB2AEA" w:rsidRDefault="00CB2AEA" w:rsidP="00CB2AEA">
      <w:pPr>
        <w:spacing w:after="0" w:line="240" w:lineRule="auto"/>
      </w:pPr>
      <w:r w:rsidRPr="00CB2AEA">
        <w:t>C’est le point essentiel de cette fiche.</w:t>
      </w:r>
    </w:p>
    <w:p w14:paraId="1DACFD08" w14:textId="77777777" w:rsidR="00CB2AEA" w:rsidRPr="00CB2AEA" w:rsidRDefault="00CB2AEA" w:rsidP="00CB2AEA">
      <w:pPr>
        <w:spacing w:after="0" w:line="240" w:lineRule="auto"/>
        <w:rPr>
          <w:b/>
          <w:bCs/>
        </w:rPr>
      </w:pPr>
      <w:r w:rsidRPr="00CB2AEA">
        <w:rPr>
          <w:b/>
          <w:bCs/>
        </w:rPr>
        <w:t>6.1. Loi et accord collectif</w:t>
      </w:r>
    </w:p>
    <w:p w14:paraId="1073E7F6" w14:textId="2921B549" w:rsidR="00CB2AEA" w:rsidRPr="00CB2AEA" w:rsidRDefault="00CB2AEA" w:rsidP="00CB2AEA">
      <w:pPr>
        <w:spacing w:after="0" w:line="240" w:lineRule="auto"/>
      </w:pPr>
      <w:r w:rsidRPr="00CB2AEA">
        <w:t>Le raisonnement n’est pas</w:t>
      </w:r>
      <w:r>
        <w:t> :</w:t>
      </w:r>
    </w:p>
    <w:p w14:paraId="499689DB" w14:textId="77777777" w:rsidR="00CB2AEA" w:rsidRPr="00CB2AEA" w:rsidRDefault="00CB2AEA" w:rsidP="00CB2AEA">
      <w:pPr>
        <w:spacing w:after="0" w:line="240" w:lineRule="auto"/>
      </w:pPr>
      <w:r w:rsidRPr="00CB2AEA">
        <w:rPr>
          <w:b/>
          <w:bCs/>
        </w:rPr>
        <w:t>loi &gt; convention collective &gt; accord d’entreprise &gt; contrat</w:t>
      </w:r>
    </w:p>
    <w:p w14:paraId="2F3366F5" w14:textId="77777777" w:rsidR="00CB2AEA" w:rsidRPr="00CB2AEA" w:rsidRDefault="00CB2AEA" w:rsidP="00CB2AEA">
      <w:pPr>
        <w:spacing w:after="0" w:line="240" w:lineRule="auto"/>
      </w:pPr>
      <w:r w:rsidRPr="00CB2AEA">
        <w:t>avec application systématique de la norme la plus favorable.</w:t>
      </w:r>
    </w:p>
    <w:p w14:paraId="62019B05" w14:textId="3379FE1B" w:rsidR="00CB2AEA" w:rsidRPr="00CB2AEA" w:rsidRDefault="00CB2AEA" w:rsidP="00CB2AEA">
      <w:pPr>
        <w:spacing w:after="0" w:line="240" w:lineRule="auto"/>
      </w:pPr>
      <w:r w:rsidRPr="00CB2AEA">
        <w:t xml:space="preserve">Il faut d’abord déterminer ce que prévoit </w:t>
      </w:r>
      <w:r w:rsidRPr="00CB2AEA">
        <w:rPr>
          <w:b/>
          <w:bCs/>
        </w:rPr>
        <w:t>la loi elle-même</w:t>
      </w:r>
      <w:r>
        <w:t> :</w:t>
      </w:r>
    </w:p>
    <w:p w14:paraId="72A4FCBC" w14:textId="6BAA1E1C" w:rsidR="00CB2AEA" w:rsidRPr="00CB2AEA" w:rsidRDefault="00CB2AEA">
      <w:pPr>
        <w:numPr>
          <w:ilvl w:val="0"/>
          <w:numId w:val="4"/>
        </w:numPr>
        <w:spacing w:after="0" w:line="240" w:lineRule="auto"/>
      </w:pPr>
      <w:r w:rsidRPr="00CB2AEA">
        <w:t>certaines dispositions sont d’ordre public</w:t>
      </w:r>
      <w:r>
        <w:t> :</w:t>
      </w:r>
      <w:r w:rsidRPr="00CB2AEA">
        <w:t xml:space="preserve"> aucune dérogation n’est possible</w:t>
      </w:r>
      <w:r>
        <w:t> ;</w:t>
      </w:r>
    </w:p>
    <w:p w14:paraId="3E80A40B" w14:textId="26285B84" w:rsidR="00CB2AEA" w:rsidRPr="00CB2AEA" w:rsidRDefault="00CB2AEA">
      <w:pPr>
        <w:numPr>
          <w:ilvl w:val="0"/>
          <w:numId w:val="4"/>
        </w:numPr>
        <w:spacing w:after="0" w:line="240" w:lineRule="auto"/>
      </w:pPr>
      <w:r w:rsidRPr="00CB2AEA">
        <w:t>certaines matières sont ouvertes à la négociation collective</w:t>
      </w:r>
      <w:r>
        <w:t> ;</w:t>
      </w:r>
    </w:p>
    <w:p w14:paraId="68221BA0" w14:textId="77777777" w:rsidR="00CB2AEA" w:rsidRPr="00CB2AEA" w:rsidRDefault="00CB2AEA">
      <w:pPr>
        <w:numPr>
          <w:ilvl w:val="0"/>
          <w:numId w:val="4"/>
        </w:numPr>
        <w:spacing w:after="0" w:line="240" w:lineRule="auto"/>
      </w:pPr>
      <w:r w:rsidRPr="00CB2AEA">
        <w:t>des règles légales supplétives ne s’appliquent qu’en l’absence d’accord.</w:t>
      </w:r>
    </w:p>
    <w:p w14:paraId="7F8ABCF6" w14:textId="77777777" w:rsidR="00CB2AEA" w:rsidRPr="00CB2AEA" w:rsidRDefault="00CB2AEA" w:rsidP="00CB2AEA">
      <w:pPr>
        <w:spacing w:after="0" w:line="240" w:lineRule="auto"/>
      </w:pPr>
      <w:r w:rsidRPr="00CB2AEA">
        <w:t>Le principe de faveur subsiste donc, mais il est encadré par les règles légales d’articulation. (</w:t>
      </w:r>
      <w:hyperlink r:id="rId21" w:tooltip="Code du travail - Article L2251-1" w:history="1">
        <w:r w:rsidRPr="00CB2AEA">
          <w:rPr>
            <w:rStyle w:val="Lienhypertexte"/>
          </w:rPr>
          <w:t>Légifrance</w:t>
        </w:r>
      </w:hyperlink>
      <w:r w:rsidRPr="00CB2AEA">
        <w:t>)</w:t>
      </w:r>
    </w:p>
    <w:p w14:paraId="08802288" w14:textId="7D7E6F13" w:rsidR="00CB2AEA" w:rsidRPr="00CB2AEA" w:rsidRDefault="00CB2AEA" w:rsidP="00CB2AEA">
      <w:pPr>
        <w:spacing w:after="0" w:line="240" w:lineRule="auto"/>
        <w:rPr>
          <w:b/>
          <w:bCs/>
        </w:rPr>
      </w:pPr>
      <w:r w:rsidRPr="00CB2AEA">
        <w:rPr>
          <w:b/>
          <w:bCs/>
        </w:rPr>
        <w:t>6.2. Branche et entreprise</w:t>
      </w:r>
      <w:r>
        <w:rPr>
          <w:b/>
          <w:bCs/>
        </w:rPr>
        <w:t> :</w:t>
      </w:r>
      <w:r w:rsidRPr="00CB2AEA">
        <w:rPr>
          <w:b/>
          <w:bCs/>
        </w:rPr>
        <w:t xml:space="preserve"> les trois blocs</w:t>
      </w:r>
    </w:p>
    <w:p w14:paraId="36B963F1" w14:textId="77777777" w:rsidR="00CB2AEA" w:rsidRPr="00CB2AEA" w:rsidRDefault="00CB2AEA" w:rsidP="00CB2AEA">
      <w:pPr>
        <w:spacing w:after="0" w:line="240" w:lineRule="auto"/>
      </w:pPr>
      <w:r w:rsidRPr="00CB2AEA">
        <w:t xml:space="preserve">Le Code du travail organise aujourd’hui les rapports entre convention de branche et accord d’entreprise autour de </w:t>
      </w:r>
      <w:r w:rsidRPr="00CB2AEA">
        <w:rPr>
          <w:b/>
          <w:bCs/>
        </w:rPr>
        <w:t>trois blocs</w:t>
      </w:r>
      <w:r w:rsidRPr="00CB2AEA">
        <w:t>.</w:t>
      </w:r>
    </w:p>
    <w:p w14:paraId="013BF8A9" w14:textId="155125FB" w:rsidR="00CB2AEA" w:rsidRPr="00CB2AEA" w:rsidRDefault="00CB2AEA" w:rsidP="00CB2AEA">
      <w:pPr>
        <w:spacing w:after="0" w:line="240" w:lineRule="auto"/>
        <w:rPr>
          <w:b/>
          <w:bCs/>
        </w:rPr>
      </w:pPr>
      <w:r w:rsidRPr="00CB2AEA">
        <w:rPr>
          <w:b/>
          <w:bCs/>
        </w:rPr>
        <w:t xml:space="preserve">Bloc 1 </w:t>
      </w:r>
      <w:r>
        <w:rPr>
          <w:b/>
          <w:bCs/>
        </w:rPr>
        <w:t>-</w:t>
      </w:r>
      <w:r w:rsidRPr="00CB2AEA">
        <w:rPr>
          <w:b/>
          <w:bCs/>
        </w:rPr>
        <w:t xml:space="preserve"> Primauté de principe de la branche</w:t>
      </w:r>
    </w:p>
    <w:p w14:paraId="74BF1248" w14:textId="77777777" w:rsidR="00CB2AEA" w:rsidRPr="00CB2AEA" w:rsidRDefault="00CB2AEA" w:rsidP="00CB2AEA">
      <w:pPr>
        <w:spacing w:after="0" w:line="240" w:lineRule="auto"/>
      </w:pPr>
      <w:r w:rsidRPr="00CB2AEA">
        <w:t xml:space="preserve">Dans treize matières, la convention de branche prévaut sur l’accord d’entreprise, sauf si celui-ci assure des </w:t>
      </w:r>
      <w:r w:rsidRPr="00CB2AEA">
        <w:rPr>
          <w:b/>
          <w:bCs/>
        </w:rPr>
        <w:t>garanties au moins équivalentes</w:t>
      </w:r>
      <w:r w:rsidRPr="00CB2AEA">
        <w:t>.</w:t>
      </w:r>
    </w:p>
    <w:p w14:paraId="612D3869" w14:textId="795DEF47" w:rsidR="00CB2AEA" w:rsidRPr="00CB2AEA" w:rsidRDefault="00CB2AEA" w:rsidP="00CB2AEA">
      <w:pPr>
        <w:spacing w:after="0" w:line="240" w:lineRule="auto"/>
      </w:pPr>
      <w:r w:rsidRPr="00CB2AEA">
        <w:t>Les treize matières sont</w:t>
      </w:r>
      <w:r>
        <w:t> :</w:t>
      </w:r>
    </w:p>
    <w:p w14:paraId="1ED9FAE0" w14:textId="71F7126E" w:rsidR="00CB2AEA" w:rsidRPr="00CB2AEA" w:rsidRDefault="00CB2AEA">
      <w:pPr>
        <w:numPr>
          <w:ilvl w:val="0"/>
          <w:numId w:val="5"/>
        </w:numPr>
        <w:spacing w:after="0" w:line="240" w:lineRule="auto"/>
      </w:pPr>
      <w:r w:rsidRPr="00CB2AEA">
        <w:t>salaires minima hiérarchiques</w:t>
      </w:r>
      <w:r>
        <w:t> ;</w:t>
      </w:r>
    </w:p>
    <w:p w14:paraId="2B7A17FA" w14:textId="2627CEA1" w:rsidR="00CB2AEA" w:rsidRPr="00CB2AEA" w:rsidRDefault="00CB2AEA">
      <w:pPr>
        <w:numPr>
          <w:ilvl w:val="0"/>
          <w:numId w:val="5"/>
        </w:numPr>
        <w:spacing w:after="0" w:line="240" w:lineRule="auto"/>
      </w:pPr>
      <w:r w:rsidRPr="00CB2AEA">
        <w:t>classifications</w:t>
      </w:r>
      <w:r>
        <w:t> ;</w:t>
      </w:r>
    </w:p>
    <w:p w14:paraId="05F698EE" w14:textId="7A40CEA1" w:rsidR="00CB2AEA" w:rsidRPr="00CB2AEA" w:rsidRDefault="00CB2AEA">
      <w:pPr>
        <w:numPr>
          <w:ilvl w:val="0"/>
          <w:numId w:val="5"/>
        </w:numPr>
        <w:spacing w:after="0" w:line="240" w:lineRule="auto"/>
      </w:pPr>
      <w:r w:rsidRPr="00CB2AEA">
        <w:t>mutualisation du financement du paritarisme</w:t>
      </w:r>
      <w:r>
        <w:t> ;</w:t>
      </w:r>
    </w:p>
    <w:p w14:paraId="6055A465" w14:textId="029507E1" w:rsidR="00CB2AEA" w:rsidRPr="00CB2AEA" w:rsidRDefault="00CB2AEA">
      <w:pPr>
        <w:numPr>
          <w:ilvl w:val="0"/>
          <w:numId w:val="5"/>
        </w:numPr>
        <w:spacing w:after="0" w:line="240" w:lineRule="auto"/>
      </w:pPr>
      <w:r w:rsidRPr="00CB2AEA">
        <w:t>mutualisation des fonds de la formation professionnelle</w:t>
      </w:r>
      <w:r>
        <w:t> ;</w:t>
      </w:r>
    </w:p>
    <w:p w14:paraId="5090B0E6" w14:textId="269C7B2A" w:rsidR="00CB2AEA" w:rsidRPr="00CB2AEA" w:rsidRDefault="00CB2AEA">
      <w:pPr>
        <w:numPr>
          <w:ilvl w:val="0"/>
          <w:numId w:val="5"/>
        </w:numPr>
        <w:spacing w:after="0" w:line="240" w:lineRule="auto"/>
      </w:pPr>
      <w:r w:rsidRPr="00CB2AEA">
        <w:t>garanties collectives complémentaires</w:t>
      </w:r>
      <w:r>
        <w:t> ;</w:t>
      </w:r>
    </w:p>
    <w:p w14:paraId="59DF4B35" w14:textId="60BC47F7" w:rsidR="00CB2AEA" w:rsidRPr="00CB2AEA" w:rsidRDefault="00CB2AEA">
      <w:pPr>
        <w:numPr>
          <w:ilvl w:val="0"/>
          <w:numId w:val="5"/>
        </w:numPr>
        <w:spacing w:after="0" w:line="240" w:lineRule="auto"/>
      </w:pPr>
      <w:r w:rsidRPr="00CB2AEA">
        <w:t>certaines règles relatives à la durée du travail, à la répartition et à l’aménagement des horaires</w:t>
      </w:r>
      <w:r>
        <w:t> ;</w:t>
      </w:r>
    </w:p>
    <w:p w14:paraId="6655206B" w14:textId="5354D7CB" w:rsidR="00CB2AEA" w:rsidRPr="00CB2AEA" w:rsidRDefault="00CB2AEA">
      <w:pPr>
        <w:numPr>
          <w:ilvl w:val="0"/>
          <w:numId w:val="5"/>
        </w:numPr>
        <w:spacing w:after="0" w:line="240" w:lineRule="auto"/>
      </w:pPr>
      <w:r w:rsidRPr="00CB2AEA">
        <w:t>certaines règles relatives aux CDD et au travail temporaire</w:t>
      </w:r>
      <w:r>
        <w:t> ;</w:t>
      </w:r>
    </w:p>
    <w:p w14:paraId="6AC9A5D9" w14:textId="5F5A2D32" w:rsidR="00CB2AEA" w:rsidRPr="00CB2AEA" w:rsidRDefault="00CB2AEA">
      <w:pPr>
        <w:numPr>
          <w:ilvl w:val="0"/>
          <w:numId w:val="5"/>
        </w:numPr>
        <w:spacing w:after="0" w:line="240" w:lineRule="auto"/>
      </w:pPr>
      <w:r w:rsidRPr="00CB2AEA">
        <w:t>CDI de chantier ou d’opération</w:t>
      </w:r>
      <w:r>
        <w:t> ;</w:t>
      </w:r>
    </w:p>
    <w:p w14:paraId="54EC7522" w14:textId="7F6C8CA5" w:rsidR="00CB2AEA" w:rsidRPr="00CB2AEA" w:rsidRDefault="00CB2AEA">
      <w:pPr>
        <w:numPr>
          <w:ilvl w:val="0"/>
          <w:numId w:val="5"/>
        </w:numPr>
        <w:spacing w:after="0" w:line="240" w:lineRule="auto"/>
      </w:pPr>
      <w:r w:rsidRPr="00CB2AEA">
        <w:t>égalité professionnelle entre les femmes et les hommes</w:t>
      </w:r>
      <w:r>
        <w:t> ;</w:t>
      </w:r>
    </w:p>
    <w:p w14:paraId="0E568A92" w14:textId="35D9111A" w:rsidR="00CB2AEA" w:rsidRPr="00CB2AEA" w:rsidRDefault="00CB2AEA">
      <w:pPr>
        <w:numPr>
          <w:ilvl w:val="0"/>
          <w:numId w:val="5"/>
        </w:numPr>
        <w:spacing w:after="0" w:line="240" w:lineRule="auto"/>
      </w:pPr>
      <w:r w:rsidRPr="00CB2AEA">
        <w:t>renouvellement de la période d’essai</w:t>
      </w:r>
      <w:r>
        <w:t> ;</w:t>
      </w:r>
    </w:p>
    <w:p w14:paraId="290EC820" w14:textId="234F0309" w:rsidR="00CB2AEA" w:rsidRPr="00CB2AEA" w:rsidRDefault="00CB2AEA">
      <w:pPr>
        <w:numPr>
          <w:ilvl w:val="0"/>
          <w:numId w:val="5"/>
        </w:numPr>
        <w:spacing w:after="0" w:line="240" w:lineRule="auto"/>
      </w:pPr>
      <w:r w:rsidRPr="00CB2AEA">
        <w:t>poursuite des contrats entre entreprises lorsque l’article L. 1224-1 n’est pas applicable</w:t>
      </w:r>
      <w:r>
        <w:t> ;</w:t>
      </w:r>
    </w:p>
    <w:p w14:paraId="3720393C" w14:textId="51B657C3" w:rsidR="00CB2AEA" w:rsidRPr="00CB2AEA" w:rsidRDefault="00CB2AEA">
      <w:pPr>
        <w:numPr>
          <w:ilvl w:val="0"/>
          <w:numId w:val="5"/>
        </w:numPr>
        <w:spacing w:after="0" w:line="240" w:lineRule="auto"/>
      </w:pPr>
      <w:r w:rsidRPr="00CB2AEA">
        <w:t>certains cas de mise à disposition d’un salarié temporaire</w:t>
      </w:r>
      <w:r>
        <w:t> ;</w:t>
      </w:r>
    </w:p>
    <w:p w14:paraId="6A4082D1" w14:textId="77777777" w:rsidR="00CB2AEA" w:rsidRPr="00CB2AEA" w:rsidRDefault="00CB2AEA">
      <w:pPr>
        <w:numPr>
          <w:ilvl w:val="0"/>
          <w:numId w:val="5"/>
        </w:numPr>
        <w:spacing w:after="0" w:line="240" w:lineRule="auto"/>
      </w:pPr>
      <w:r w:rsidRPr="00CB2AEA">
        <w:t>rémunération minimale du salarié porté et indemnité d’apport d’affaires.</w:t>
      </w:r>
    </w:p>
    <w:p w14:paraId="47E78BD4" w14:textId="77777777" w:rsidR="00CB2AEA" w:rsidRPr="00CB2AEA" w:rsidRDefault="00CB2AEA" w:rsidP="00CB2AEA">
      <w:pPr>
        <w:spacing w:after="0" w:line="240" w:lineRule="auto"/>
      </w:pPr>
      <w:r w:rsidRPr="00CB2AEA">
        <w:t xml:space="preserve">L’équivalence s’apprécie </w:t>
      </w:r>
      <w:r w:rsidRPr="00CB2AEA">
        <w:rPr>
          <w:b/>
          <w:bCs/>
        </w:rPr>
        <w:t>par ensemble de garanties relevant d’une même matière</w:t>
      </w:r>
      <w:r w:rsidRPr="00CB2AEA">
        <w:t>. (</w:t>
      </w:r>
      <w:hyperlink r:id="rId22" w:tooltip="Article L2253-1 - Code du travail - Légifrance" w:history="1">
        <w:r w:rsidRPr="00CB2AEA">
          <w:rPr>
            <w:rStyle w:val="Lienhypertexte"/>
          </w:rPr>
          <w:t>Légifrance</w:t>
        </w:r>
      </w:hyperlink>
      <w:r w:rsidRPr="00CB2AEA">
        <w:t>)</w:t>
      </w:r>
    </w:p>
    <w:p w14:paraId="18EC202E" w14:textId="77777777" w:rsidR="00CB2AEA" w:rsidRPr="00CB2AEA" w:rsidRDefault="00CB2AEA" w:rsidP="00CB2AEA">
      <w:pPr>
        <w:spacing w:after="0" w:line="240" w:lineRule="auto"/>
      </w:pPr>
      <w:r w:rsidRPr="00CB2AEA">
        <w:rPr>
          <w:b/>
          <w:bCs/>
        </w:rPr>
        <w:t>Exemple</w:t>
      </w:r>
    </w:p>
    <w:p w14:paraId="359B4839" w14:textId="1305CE1C" w:rsidR="00CB2AEA" w:rsidRPr="00CB2AEA" w:rsidRDefault="00CB2AEA" w:rsidP="00CB2AEA">
      <w:pPr>
        <w:spacing w:after="0" w:line="240" w:lineRule="auto"/>
      </w:pPr>
      <w:r w:rsidRPr="00CB2AEA">
        <w:t xml:space="preserve">Une convention de branche fixe le salaire minimum hiérarchique correspondant à une classification à </w:t>
      </w:r>
      <w:r w:rsidRPr="00CB2AEA">
        <w:rPr>
          <w:b/>
          <w:bCs/>
        </w:rPr>
        <w:t>2 200</w:t>
      </w:r>
      <w:r>
        <w:rPr>
          <w:b/>
          <w:bCs/>
        </w:rPr>
        <w:t> €</w:t>
      </w:r>
      <w:r w:rsidRPr="00CB2AEA">
        <w:t xml:space="preserve">. Un accord d’entreprise fixe pour cette même classification un minimum de </w:t>
      </w:r>
      <w:r w:rsidRPr="00CB2AEA">
        <w:rPr>
          <w:b/>
          <w:bCs/>
        </w:rPr>
        <w:t>2 050</w:t>
      </w:r>
      <w:r>
        <w:rPr>
          <w:b/>
          <w:bCs/>
        </w:rPr>
        <w:t> €</w:t>
      </w:r>
      <w:r w:rsidRPr="00CB2AEA">
        <w:t xml:space="preserve"> sans garantie équivalente.</w:t>
      </w:r>
    </w:p>
    <w:p w14:paraId="212E7F70" w14:textId="77777777" w:rsidR="00CB2AEA" w:rsidRPr="00CB2AEA" w:rsidRDefault="00CB2AEA" w:rsidP="00CB2AEA">
      <w:pPr>
        <w:spacing w:after="0" w:line="240" w:lineRule="auto"/>
      </w:pPr>
      <w:r w:rsidRPr="00CB2AEA">
        <w:t>→ Le salaire minimum de branche doit être respecté.</w:t>
      </w:r>
    </w:p>
    <w:p w14:paraId="0FDB9F2B" w14:textId="339C4A58" w:rsidR="00CB2AEA" w:rsidRPr="00CB2AEA" w:rsidRDefault="00CB2AEA" w:rsidP="00CB2AEA">
      <w:pPr>
        <w:spacing w:after="0" w:line="240" w:lineRule="auto"/>
        <w:rPr>
          <w:b/>
          <w:bCs/>
        </w:rPr>
      </w:pPr>
      <w:r w:rsidRPr="00CB2AEA">
        <w:rPr>
          <w:b/>
          <w:bCs/>
        </w:rPr>
        <w:t xml:space="preserve">Bloc 2 </w:t>
      </w:r>
      <w:r>
        <w:rPr>
          <w:b/>
          <w:bCs/>
        </w:rPr>
        <w:t>-</w:t>
      </w:r>
      <w:r w:rsidRPr="00CB2AEA">
        <w:rPr>
          <w:b/>
          <w:bCs/>
        </w:rPr>
        <w:t xml:space="preserve"> Primauté de la branche si elle le prévoit expressément</w:t>
      </w:r>
    </w:p>
    <w:p w14:paraId="7775DFED" w14:textId="6B70D7E6" w:rsidR="00CB2AEA" w:rsidRPr="00CB2AEA" w:rsidRDefault="00CB2AEA" w:rsidP="00CB2AEA">
      <w:pPr>
        <w:spacing w:after="0" w:line="240" w:lineRule="auto"/>
      </w:pPr>
      <w:r w:rsidRPr="00CB2AEA">
        <w:t>Dans quatre matières, la branche peut décider expressément que ses dispositions prévaudront sur les accords d’entreprise ultérieurs, sauf garanties au moins équivalentes</w:t>
      </w:r>
      <w:r>
        <w:t> :</w:t>
      </w:r>
    </w:p>
    <w:tbl>
      <w:tblPr>
        <w:tblStyle w:val="Grilledutableau"/>
        <w:tblW w:w="0" w:type="auto"/>
        <w:tblLook w:val="04A0" w:firstRow="1" w:lastRow="0" w:firstColumn="1" w:lastColumn="0" w:noHBand="0" w:noVBand="1"/>
      </w:tblPr>
      <w:tblGrid>
        <w:gridCol w:w="7555"/>
      </w:tblGrid>
      <w:tr w:rsidR="00CB2AEA" w:rsidRPr="00CB2AEA" w14:paraId="616E277E" w14:textId="77777777" w:rsidTr="00CB2AEA">
        <w:trPr>
          <w:tblHeader/>
        </w:trPr>
        <w:tc>
          <w:tcPr>
            <w:tcW w:w="0" w:type="auto"/>
            <w:hideMark/>
          </w:tcPr>
          <w:p w14:paraId="001C86DB"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Matière</w:t>
            </w:r>
          </w:p>
        </w:tc>
      </w:tr>
      <w:tr w:rsidR="00CB2AEA" w:rsidRPr="00CB2AEA" w14:paraId="1B639F2B" w14:textId="77777777" w:rsidTr="00CB2AEA">
        <w:tc>
          <w:tcPr>
            <w:tcW w:w="0" w:type="auto"/>
            <w:hideMark/>
          </w:tcPr>
          <w:p w14:paraId="59EE05DC" w14:textId="77777777" w:rsidR="00CB2AEA" w:rsidRPr="00CB2AEA" w:rsidRDefault="00CB2AEA" w:rsidP="00CB2AEA">
            <w:pPr>
              <w:jc w:val="left"/>
              <w:rPr>
                <w:rFonts w:ascii="Calibri" w:hAnsi="Calibri" w:cs="Calibri"/>
                <w:sz w:val="20"/>
              </w:rPr>
            </w:pPr>
            <w:r w:rsidRPr="00CB2AEA">
              <w:rPr>
                <w:rFonts w:ascii="Calibri" w:hAnsi="Calibri" w:cs="Calibri"/>
                <w:sz w:val="20"/>
              </w:rPr>
              <w:t>Prévention des effets de l’exposition aux facteurs de risques professionnels</w:t>
            </w:r>
          </w:p>
        </w:tc>
      </w:tr>
      <w:tr w:rsidR="00CB2AEA" w:rsidRPr="00CB2AEA" w14:paraId="77827439" w14:textId="77777777" w:rsidTr="00CB2AEA">
        <w:tc>
          <w:tcPr>
            <w:tcW w:w="0" w:type="auto"/>
            <w:hideMark/>
          </w:tcPr>
          <w:p w14:paraId="57DDEAB8" w14:textId="77777777" w:rsidR="00CB2AEA" w:rsidRPr="00CB2AEA" w:rsidRDefault="00CB2AEA" w:rsidP="00CB2AEA">
            <w:pPr>
              <w:jc w:val="left"/>
              <w:rPr>
                <w:rFonts w:ascii="Calibri" w:hAnsi="Calibri" w:cs="Calibri"/>
                <w:sz w:val="20"/>
              </w:rPr>
            </w:pPr>
            <w:r w:rsidRPr="00CB2AEA">
              <w:rPr>
                <w:rFonts w:ascii="Calibri" w:hAnsi="Calibri" w:cs="Calibri"/>
                <w:sz w:val="20"/>
              </w:rPr>
              <w:t>Insertion professionnelle et maintien dans l’emploi des travailleurs handicapés</w:t>
            </w:r>
          </w:p>
        </w:tc>
      </w:tr>
      <w:tr w:rsidR="00CB2AEA" w:rsidRPr="00CB2AEA" w14:paraId="56E0432F" w14:textId="77777777" w:rsidTr="00CB2AEA">
        <w:tc>
          <w:tcPr>
            <w:tcW w:w="0" w:type="auto"/>
            <w:hideMark/>
          </w:tcPr>
          <w:p w14:paraId="62B1B7AD" w14:textId="77777777" w:rsidR="00CB2AEA" w:rsidRPr="00CB2AEA" w:rsidRDefault="00CB2AEA" w:rsidP="00CB2AEA">
            <w:pPr>
              <w:jc w:val="left"/>
              <w:rPr>
                <w:rFonts w:ascii="Calibri" w:hAnsi="Calibri" w:cs="Calibri"/>
                <w:sz w:val="20"/>
              </w:rPr>
            </w:pPr>
            <w:r w:rsidRPr="00CB2AEA">
              <w:rPr>
                <w:rFonts w:ascii="Calibri" w:hAnsi="Calibri" w:cs="Calibri"/>
                <w:sz w:val="20"/>
              </w:rPr>
              <w:t>Seuil de désignation, nombre de délégués syndicaux et valorisation des parcours syndicaux</w:t>
            </w:r>
          </w:p>
        </w:tc>
      </w:tr>
      <w:tr w:rsidR="00CB2AEA" w:rsidRPr="00CB2AEA" w14:paraId="2C3755E0" w14:textId="77777777" w:rsidTr="00CB2AEA">
        <w:tc>
          <w:tcPr>
            <w:tcW w:w="0" w:type="auto"/>
            <w:hideMark/>
          </w:tcPr>
          <w:p w14:paraId="747E4C05" w14:textId="77777777" w:rsidR="00CB2AEA" w:rsidRPr="00CB2AEA" w:rsidRDefault="00CB2AEA" w:rsidP="00CB2AEA">
            <w:pPr>
              <w:jc w:val="left"/>
              <w:rPr>
                <w:rFonts w:ascii="Calibri" w:hAnsi="Calibri" w:cs="Calibri"/>
                <w:sz w:val="20"/>
              </w:rPr>
            </w:pPr>
            <w:r w:rsidRPr="00CB2AEA">
              <w:rPr>
                <w:rFonts w:ascii="Calibri" w:hAnsi="Calibri" w:cs="Calibri"/>
                <w:sz w:val="20"/>
              </w:rPr>
              <w:t>Primes pour travaux dangereux ou insalubres</w:t>
            </w:r>
          </w:p>
        </w:tc>
      </w:tr>
    </w:tbl>
    <w:p w14:paraId="61E6482B" w14:textId="77777777" w:rsidR="00CB2AEA" w:rsidRPr="00CB2AEA" w:rsidRDefault="00CB2AEA" w:rsidP="00CB2AEA">
      <w:pPr>
        <w:spacing w:after="0" w:line="240" w:lineRule="auto"/>
      </w:pPr>
      <w:r w:rsidRPr="00CB2AEA">
        <w:t>(</w:t>
      </w:r>
      <w:hyperlink r:id="rId23" w:tooltip="Article L2253-2 - Code du travail - Légifrance" w:history="1">
        <w:r w:rsidRPr="00CB2AEA">
          <w:rPr>
            <w:rStyle w:val="Lienhypertexte"/>
          </w:rPr>
          <w:t>Légifrance</w:t>
        </w:r>
      </w:hyperlink>
      <w:r w:rsidRPr="00CB2AEA">
        <w:t>)</w:t>
      </w:r>
    </w:p>
    <w:p w14:paraId="5A6B72A2" w14:textId="6E85FEEC" w:rsidR="00CB2AEA" w:rsidRPr="00CB2AEA" w:rsidRDefault="00CB2AEA" w:rsidP="00CB2AEA">
      <w:pPr>
        <w:spacing w:after="0" w:line="240" w:lineRule="auto"/>
        <w:rPr>
          <w:b/>
          <w:bCs/>
        </w:rPr>
      </w:pPr>
      <w:r w:rsidRPr="00CB2AEA">
        <w:rPr>
          <w:b/>
          <w:bCs/>
        </w:rPr>
        <w:lastRenderedPageBreak/>
        <w:t xml:space="preserve">Bloc 3 </w:t>
      </w:r>
      <w:r>
        <w:rPr>
          <w:b/>
          <w:bCs/>
        </w:rPr>
        <w:t>-</w:t>
      </w:r>
      <w:r w:rsidRPr="00CB2AEA">
        <w:rPr>
          <w:b/>
          <w:bCs/>
        </w:rPr>
        <w:t xml:space="preserve"> Primauté de l’accord d’entreprise</w:t>
      </w:r>
    </w:p>
    <w:p w14:paraId="6719A8F6" w14:textId="77777777" w:rsidR="00CB2AEA" w:rsidRPr="00CB2AEA" w:rsidRDefault="00CB2AEA" w:rsidP="00CB2AEA">
      <w:pPr>
        <w:spacing w:after="0" w:line="240" w:lineRule="auto"/>
      </w:pPr>
      <w:r w:rsidRPr="00CB2AEA">
        <w:t xml:space="preserve">Dans </w:t>
      </w:r>
      <w:r w:rsidRPr="00CB2AEA">
        <w:rPr>
          <w:b/>
          <w:bCs/>
        </w:rPr>
        <w:t>toutes les autres matières</w:t>
      </w:r>
      <w:r w:rsidRPr="00CB2AEA">
        <w:t>, l’accord d’entreprise prévaut sur la convention de branche lorsqu’ils ont le même objet.</w:t>
      </w:r>
    </w:p>
    <w:p w14:paraId="5E73C5B9" w14:textId="77777777" w:rsidR="00CB2AEA" w:rsidRPr="00CB2AEA" w:rsidRDefault="00CB2AEA" w:rsidP="00CB2AEA">
      <w:pPr>
        <w:spacing w:after="0" w:line="240" w:lineRule="auto"/>
      </w:pPr>
      <w:r w:rsidRPr="00CB2AEA">
        <w:t xml:space="preserve">Cette primauté joue que l’accord d’entreprise ait été conclu </w:t>
      </w:r>
      <w:r w:rsidRPr="00CB2AEA">
        <w:rPr>
          <w:b/>
          <w:bCs/>
        </w:rPr>
        <w:t>avant ou après</w:t>
      </w:r>
      <w:r w:rsidRPr="00CB2AEA">
        <w:t xml:space="preserve"> l’accord de branche.</w:t>
      </w:r>
    </w:p>
    <w:p w14:paraId="1A753AAD" w14:textId="77777777" w:rsidR="00CB2AEA" w:rsidRPr="00CB2AEA" w:rsidRDefault="00CB2AEA" w:rsidP="00CB2AEA">
      <w:pPr>
        <w:spacing w:after="0" w:line="240" w:lineRule="auto"/>
      </w:pPr>
      <w:r w:rsidRPr="00CB2AEA">
        <w:t>En l’absence d’accord d’entreprise, la convention de branche s’applique. (</w:t>
      </w:r>
      <w:hyperlink r:id="rId24" w:tooltip="Article L2253-3 - Code du travail - Légifrance" w:history="1">
        <w:r w:rsidRPr="00CB2AEA">
          <w:rPr>
            <w:rStyle w:val="Lienhypertexte"/>
          </w:rPr>
          <w:t>Légifrance</w:t>
        </w:r>
      </w:hyperlink>
      <w:r w:rsidRPr="00CB2AEA">
        <w:t>)</w:t>
      </w:r>
    </w:p>
    <w:p w14:paraId="1E58CAFA" w14:textId="15724755" w:rsidR="00CB2AEA" w:rsidRPr="00CB2AEA" w:rsidRDefault="00CB2AEA" w:rsidP="00CB2AEA">
      <w:pPr>
        <w:spacing w:after="0" w:line="240" w:lineRule="auto"/>
      </w:pPr>
      <w:r w:rsidRPr="00CB2AEA">
        <w:rPr>
          <w:b/>
          <w:bCs/>
        </w:rPr>
        <w:t>Conséquence essentielle</w:t>
      </w:r>
      <w:r>
        <w:rPr>
          <w:b/>
          <w:bCs/>
        </w:rPr>
        <w:t> :</w:t>
      </w:r>
      <w:r w:rsidRPr="00CB2AEA">
        <w:t xml:space="preserve"> dans le bloc 3, il ne faut pas comparer les deux textes pour rechercher automatiquement lequel est le plus favorable. C’est l’accord d’entreprise qui prévaut.</w:t>
      </w:r>
    </w:p>
    <w:p w14:paraId="4F6FA146" w14:textId="77777777" w:rsidR="00CB2AEA" w:rsidRPr="00CB2AEA" w:rsidRDefault="00CB2AEA" w:rsidP="00CB2AEA">
      <w:pPr>
        <w:spacing w:after="0" w:line="240" w:lineRule="auto"/>
      </w:pPr>
      <w:r w:rsidRPr="00CB2AEA">
        <w:rPr>
          <w:b/>
          <w:bCs/>
        </w:rPr>
        <w:t>Exemple</w:t>
      </w:r>
    </w:p>
    <w:p w14:paraId="088AED13" w14:textId="77777777" w:rsidR="00CB2AEA" w:rsidRPr="00CB2AEA" w:rsidRDefault="00CB2AEA" w:rsidP="00CB2AEA">
      <w:pPr>
        <w:spacing w:after="0" w:line="240" w:lineRule="auto"/>
      </w:pPr>
      <w:r w:rsidRPr="00CB2AEA">
        <w:t>Une convention de branche prévoit une prime d’ancienneté distincte du salaire minimum hiérarchique. Un accord d’entreprise régit ensuite cette même prime selon des modalités moins avantageuses.</w:t>
      </w:r>
    </w:p>
    <w:p w14:paraId="54B5A1EE" w14:textId="77777777" w:rsidR="00CB2AEA" w:rsidRPr="00CB2AEA" w:rsidRDefault="00CB2AEA" w:rsidP="00CB2AEA">
      <w:pPr>
        <w:spacing w:after="0" w:line="240" w:lineRule="auto"/>
      </w:pPr>
      <w:r w:rsidRPr="00CB2AEA">
        <w:t>La prime d’ancienneté n’appartient ni au bloc 1 ni au bloc 2.</w:t>
      </w:r>
    </w:p>
    <w:p w14:paraId="571211DC" w14:textId="77777777" w:rsidR="00CB2AEA" w:rsidRPr="00CB2AEA" w:rsidRDefault="00CB2AEA" w:rsidP="00CB2AEA">
      <w:pPr>
        <w:spacing w:after="0" w:line="240" w:lineRule="auto"/>
      </w:pPr>
      <w:r w:rsidRPr="00CB2AEA">
        <w:t>→ L’accord d’entreprise ayant le même objet prévaut.</w:t>
      </w:r>
    </w:p>
    <w:p w14:paraId="6B43FC10" w14:textId="77777777" w:rsidR="00CB2AEA" w:rsidRPr="00CB2AEA" w:rsidRDefault="00CB2AEA" w:rsidP="00CB2AEA">
      <w:pPr>
        <w:pStyle w:val="Titre1"/>
      </w:pPr>
      <w:r w:rsidRPr="00CB2AEA">
        <w:t>7. Le règlement intérieur, l’usage et l’engagement unilatéral</w:t>
      </w:r>
    </w:p>
    <w:p w14:paraId="2A29D52B" w14:textId="77777777" w:rsidR="00CB2AEA" w:rsidRPr="00CB2AEA" w:rsidRDefault="00CB2AEA" w:rsidP="00CB2AEA">
      <w:pPr>
        <w:spacing w:after="0" w:line="240" w:lineRule="auto"/>
        <w:rPr>
          <w:b/>
          <w:bCs/>
        </w:rPr>
      </w:pPr>
      <w:r w:rsidRPr="00CB2AEA">
        <w:rPr>
          <w:b/>
          <w:bCs/>
        </w:rPr>
        <w:t>7.1. L’usage d’entreprise</w:t>
      </w:r>
    </w:p>
    <w:p w14:paraId="21E3A711" w14:textId="6C4753C0" w:rsidR="00CB2AEA" w:rsidRPr="00CB2AEA" w:rsidRDefault="00CB2AEA" w:rsidP="00CB2AEA">
      <w:pPr>
        <w:spacing w:after="0" w:line="240" w:lineRule="auto"/>
      </w:pPr>
      <w:r w:rsidRPr="00CB2AEA">
        <w:t xml:space="preserve">Un </w:t>
      </w:r>
      <w:r w:rsidRPr="00CB2AEA">
        <w:rPr>
          <w:b/>
          <w:bCs/>
        </w:rPr>
        <w:t>usage</w:t>
      </w:r>
      <w:r w:rsidRPr="00CB2AEA">
        <w:t xml:space="preserve"> est une pratique de l’employeur devenue obligatoire parce qu’elle présente trois caractères</w:t>
      </w:r>
      <w:r>
        <w:t> :</w:t>
      </w:r>
    </w:p>
    <w:tbl>
      <w:tblPr>
        <w:tblStyle w:val="Grilledutableau"/>
        <w:tblW w:w="0" w:type="auto"/>
        <w:tblLook w:val="04A0" w:firstRow="1" w:lastRow="0" w:firstColumn="1" w:lastColumn="0" w:noHBand="0" w:noVBand="1"/>
      </w:tblPr>
      <w:tblGrid>
        <w:gridCol w:w="1084"/>
        <w:gridCol w:w="6368"/>
      </w:tblGrid>
      <w:tr w:rsidR="00CB2AEA" w:rsidRPr="00CB2AEA" w14:paraId="1E273B4F" w14:textId="77777777" w:rsidTr="00CB2AEA">
        <w:trPr>
          <w:tblHeader/>
        </w:trPr>
        <w:tc>
          <w:tcPr>
            <w:tcW w:w="0" w:type="auto"/>
            <w:hideMark/>
          </w:tcPr>
          <w:p w14:paraId="358D05DA"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Critère</w:t>
            </w:r>
          </w:p>
        </w:tc>
        <w:tc>
          <w:tcPr>
            <w:tcW w:w="0" w:type="auto"/>
            <w:hideMark/>
          </w:tcPr>
          <w:p w14:paraId="7E264B64"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Signification</w:t>
            </w:r>
          </w:p>
        </w:tc>
      </w:tr>
      <w:tr w:rsidR="00CB2AEA" w:rsidRPr="00CB2AEA" w14:paraId="7AA6B4A5" w14:textId="77777777" w:rsidTr="00CB2AEA">
        <w:tc>
          <w:tcPr>
            <w:tcW w:w="0" w:type="auto"/>
            <w:hideMark/>
          </w:tcPr>
          <w:p w14:paraId="621B0277" w14:textId="77777777" w:rsidR="00CB2AEA" w:rsidRPr="00CB2AEA" w:rsidRDefault="00CB2AEA" w:rsidP="00CB2AEA">
            <w:pPr>
              <w:jc w:val="left"/>
              <w:rPr>
                <w:rFonts w:ascii="Calibri" w:hAnsi="Calibri" w:cs="Calibri"/>
                <w:sz w:val="20"/>
              </w:rPr>
            </w:pPr>
            <w:r w:rsidRPr="00CB2AEA">
              <w:rPr>
                <w:rFonts w:ascii="Calibri" w:hAnsi="Calibri" w:cs="Calibri"/>
                <w:b/>
                <w:bCs/>
                <w:sz w:val="20"/>
              </w:rPr>
              <w:t>Généralité</w:t>
            </w:r>
          </w:p>
        </w:tc>
        <w:tc>
          <w:tcPr>
            <w:tcW w:w="0" w:type="auto"/>
            <w:hideMark/>
          </w:tcPr>
          <w:p w14:paraId="413A74FC" w14:textId="77777777" w:rsidR="00CB2AEA" w:rsidRPr="00CB2AEA" w:rsidRDefault="00CB2AEA" w:rsidP="00CB2AEA">
            <w:pPr>
              <w:jc w:val="left"/>
              <w:rPr>
                <w:rFonts w:ascii="Calibri" w:hAnsi="Calibri" w:cs="Calibri"/>
                <w:sz w:val="20"/>
              </w:rPr>
            </w:pPr>
            <w:r w:rsidRPr="00CB2AEA">
              <w:rPr>
                <w:rFonts w:ascii="Calibri" w:hAnsi="Calibri" w:cs="Calibri"/>
                <w:sz w:val="20"/>
              </w:rPr>
              <w:t>Avantage accordé à l’ensemble du personnel ou à une catégorie déterminée</w:t>
            </w:r>
          </w:p>
        </w:tc>
      </w:tr>
      <w:tr w:rsidR="00CB2AEA" w:rsidRPr="00CB2AEA" w14:paraId="5A701810" w14:textId="77777777" w:rsidTr="00CB2AEA">
        <w:tc>
          <w:tcPr>
            <w:tcW w:w="0" w:type="auto"/>
            <w:hideMark/>
          </w:tcPr>
          <w:p w14:paraId="686D1A9F" w14:textId="77777777" w:rsidR="00CB2AEA" w:rsidRPr="00CB2AEA" w:rsidRDefault="00CB2AEA" w:rsidP="00CB2AEA">
            <w:pPr>
              <w:jc w:val="left"/>
              <w:rPr>
                <w:rFonts w:ascii="Calibri" w:hAnsi="Calibri" w:cs="Calibri"/>
                <w:sz w:val="20"/>
              </w:rPr>
            </w:pPr>
            <w:r w:rsidRPr="00CB2AEA">
              <w:rPr>
                <w:rFonts w:ascii="Calibri" w:hAnsi="Calibri" w:cs="Calibri"/>
                <w:b/>
                <w:bCs/>
                <w:sz w:val="20"/>
              </w:rPr>
              <w:t>Constance</w:t>
            </w:r>
          </w:p>
        </w:tc>
        <w:tc>
          <w:tcPr>
            <w:tcW w:w="0" w:type="auto"/>
            <w:hideMark/>
          </w:tcPr>
          <w:p w14:paraId="3CA32931" w14:textId="77777777" w:rsidR="00CB2AEA" w:rsidRPr="00CB2AEA" w:rsidRDefault="00CB2AEA" w:rsidP="00CB2AEA">
            <w:pPr>
              <w:jc w:val="left"/>
              <w:rPr>
                <w:rFonts w:ascii="Calibri" w:hAnsi="Calibri" w:cs="Calibri"/>
                <w:sz w:val="20"/>
              </w:rPr>
            </w:pPr>
            <w:r w:rsidRPr="00CB2AEA">
              <w:rPr>
                <w:rFonts w:ascii="Calibri" w:hAnsi="Calibri" w:cs="Calibri"/>
                <w:sz w:val="20"/>
              </w:rPr>
              <w:t>Avantage attribué de manière répétée</w:t>
            </w:r>
          </w:p>
        </w:tc>
      </w:tr>
      <w:tr w:rsidR="00CB2AEA" w:rsidRPr="00CB2AEA" w14:paraId="43E3C0A8" w14:textId="77777777" w:rsidTr="00CB2AEA">
        <w:tc>
          <w:tcPr>
            <w:tcW w:w="0" w:type="auto"/>
            <w:hideMark/>
          </w:tcPr>
          <w:p w14:paraId="195800CC" w14:textId="77777777" w:rsidR="00CB2AEA" w:rsidRPr="00CB2AEA" w:rsidRDefault="00CB2AEA" w:rsidP="00CB2AEA">
            <w:pPr>
              <w:jc w:val="left"/>
              <w:rPr>
                <w:rFonts w:ascii="Calibri" w:hAnsi="Calibri" w:cs="Calibri"/>
                <w:sz w:val="20"/>
              </w:rPr>
            </w:pPr>
            <w:r w:rsidRPr="00CB2AEA">
              <w:rPr>
                <w:rFonts w:ascii="Calibri" w:hAnsi="Calibri" w:cs="Calibri"/>
                <w:b/>
                <w:bCs/>
                <w:sz w:val="20"/>
              </w:rPr>
              <w:t>Fixité</w:t>
            </w:r>
          </w:p>
        </w:tc>
        <w:tc>
          <w:tcPr>
            <w:tcW w:w="0" w:type="auto"/>
            <w:hideMark/>
          </w:tcPr>
          <w:p w14:paraId="6023438F" w14:textId="77777777" w:rsidR="00CB2AEA" w:rsidRPr="00CB2AEA" w:rsidRDefault="00CB2AEA" w:rsidP="00CB2AEA">
            <w:pPr>
              <w:jc w:val="left"/>
              <w:rPr>
                <w:rFonts w:ascii="Calibri" w:hAnsi="Calibri" w:cs="Calibri"/>
                <w:sz w:val="20"/>
              </w:rPr>
            </w:pPr>
            <w:r w:rsidRPr="00CB2AEA">
              <w:rPr>
                <w:rFonts w:ascii="Calibri" w:hAnsi="Calibri" w:cs="Calibri"/>
                <w:sz w:val="20"/>
              </w:rPr>
              <w:t>Avantage accordé selon des règles suffisamment déterminées</w:t>
            </w:r>
          </w:p>
        </w:tc>
      </w:tr>
    </w:tbl>
    <w:p w14:paraId="1362C29A" w14:textId="68106614" w:rsidR="00CB2AEA" w:rsidRPr="00CB2AEA" w:rsidRDefault="00CB2AEA" w:rsidP="00CB2AEA">
      <w:pPr>
        <w:spacing w:after="0" w:line="240" w:lineRule="auto"/>
      </w:pPr>
      <w:r w:rsidRPr="00CB2AEA">
        <w:t xml:space="preserve">Ces trois critères </w:t>
      </w:r>
      <w:r>
        <w:t>-</w:t>
      </w:r>
      <w:r w:rsidRPr="00CB2AEA">
        <w:t xml:space="preserve"> généralité, constance et fixité </w:t>
      </w:r>
      <w:r>
        <w:t>-</w:t>
      </w:r>
      <w:r w:rsidRPr="00CB2AEA">
        <w:t xml:space="preserve"> sont retenus par la jurisprudence. (</w:t>
      </w:r>
      <w:hyperlink r:id="rId25" w:tooltip="Cour de cassation, civile, Chambre sociale, 16 mai 2018 ..." w:history="1">
        <w:r w:rsidRPr="00CB2AEA">
          <w:rPr>
            <w:rStyle w:val="Lienhypertexte"/>
          </w:rPr>
          <w:t>Légifrance</w:t>
        </w:r>
      </w:hyperlink>
      <w:r w:rsidRPr="00CB2AEA">
        <w:t>)</w:t>
      </w:r>
    </w:p>
    <w:p w14:paraId="4ED0520E" w14:textId="5BBF277D" w:rsidR="00CB2AEA" w:rsidRPr="00CB2AEA" w:rsidRDefault="00CB2AEA" w:rsidP="00CB2AEA">
      <w:pPr>
        <w:spacing w:after="0" w:line="240" w:lineRule="auto"/>
      </w:pPr>
      <w:r w:rsidRPr="00CB2AEA">
        <w:rPr>
          <w:b/>
          <w:bCs/>
        </w:rPr>
        <w:t>Exemple</w:t>
      </w:r>
      <w:r>
        <w:rPr>
          <w:b/>
          <w:bCs/>
        </w:rPr>
        <w:t> :</w:t>
      </w:r>
      <w:r w:rsidRPr="00CB2AEA">
        <w:t xml:space="preserve"> une prime de 500</w:t>
      </w:r>
      <w:r>
        <w:t> €</w:t>
      </w:r>
      <w:r w:rsidRPr="00CB2AEA">
        <w:t xml:space="preserve"> versée tous les mois de décembre depuis plusieurs années à tous les salariés selon les mêmes conditions peut constituer un usage.</w:t>
      </w:r>
    </w:p>
    <w:p w14:paraId="28E8C133" w14:textId="77777777" w:rsidR="00CB2AEA" w:rsidRPr="00CB2AEA" w:rsidRDefault="00CB2AEA" w:rsidP="00CB2AEA">
      <w:pPr>
        <w:spacing w:after="0" w:line="240" w:lineRule="auto"/>
      </w:pPr>
      <w:r w:rsidRPr="00CB2AEA">
        <w:t>L’employeur peut dénoncer l’usage, mais il doit notamment informer les représentants du personnel et les salariés concernés et respecter un délai de prévenance suffisant permettant d’éventuelles négociations. (</w:t>
      </w:r>
      <w:hyperlink r:id="rId26" w:tooltip="Cour de cassation, civile, Chambre sociale, 2 avril 2014 ..." w:history="1">
        <w:r w:rsidRPr="00CB2AEA">
          <w:rPr>
            <w:rStyle w:val="Lienhypertexte"/>
          </w:rPr>
          <w:t>Légifrance</w:t>
        </w:r>
      </w:hyperlink>
      <w:r w:rsidRPr="00CB2AEA">
        <w:t>)</w:t>
      </w:r>
    </w:p>
    <w:p w14:paraId="04487A67" w14:textId="77777777" w:rsidR="00CB2AEA" w:rsidRPr="00CB2AEA" w:rsidRDefault="00CB2AEA" w:rsidP="00CB2AEA">
      <w:pPr>
        <w:spacing w:after="0" w:line="240" w:lineRule="auto"/>
        <w:rPr>
          <w:b/>
          <w:bCs/>
        </w:rPr>
      </w:pPr>
      <w:r w:rsidRPr="00CB2AEA">
        <w:rPr>
          <w:b/>
          <w:bCs/>
        </w:rPr>
        <w:t>7.2. L’engagement unilatéral de l’employeur</w:t>
      </w:r>
    </w:p>
    <w:p w14:paraId="6B8C6FB9" w14:textId="77777777" w:rsidR="00CB2AEA" w:rsidRPr="00CB2AEA" w:rsidRDefault="00CB2AEA" w:rsidP="00CB2AEA">
      <w:pPr>
        <w:spacing w:after="0" w:line="240" w:lineRule="auto"/>
      </w:pPr>
      <w:r w:rsidRPr="00CB2AEA">
        <w:t>L’</w:t>
      </w:r>
      <w:r w:rsidRPr="00CB2AEA">
        <w:rPr>
          <w:b/>
          <w:bCs/>
        </w:rPr>
        <w:t>engagement unilatéral</w:t>
      </w:r>
      <w:r w:rsidRPr="00CB2AEA">
        <w:t xml:space="preserve"> résulte d’une décision par laquelle l’employeur s’engage explicitement à accorder un avantage ou à appliquer une règle.</w:t>
      </w:r>
    </w:p>
    <w:p w14:paraId="05A6EFCA" w14:textId="5C51B28A" w:rsidR="00CB2AEA" w:rsidRPr="00CB2AEA" w:rsidRDefault="00CB2AEA" w:rsidP="00CB2AEA">
      <w:pPr>
        <w:spacing w:after="0" w:line="240" w:lineRule="auto"/>
      </w:pPr>
      <w:r w:rsidRPr="00CB2AEA">
        <w:t>Il se distingue de l’usage</w:t>
      </w:r>
      <w:r>
        <w:t> :</w:t>
      </w:r>
    </w:p>
    <w:p w14:paraId="7049DB4B" w14:textId="77777777" w:rsidR="00CB2AEA" w:rsidRPr="00CB2AEA" w:rsidRDefault="00CB2AEA" w:rsidP="00CB2AEA">
      <w:pPr>
        <w:spacing w:after="0" w:line="240" w:lineRule="auto"/>
      </w:pPr>
      <w:r w:rsidRPr="00CB2AEA">
        <w:rPr>
          <w:b/>
          <w:bCs/>
        </w:rPr>
        <w:t>usage = pratique répétée</w:t>
      </w:r>
    </w:p>
    <w:p w14:paraId="5C6EADF4" w14:textId="77777777" w:rsidR="00CB2AEA" w:rsidRPr="00CB2AEA" w:rsidRDefault="00CB2AEA" w:rsidP="00CB2AEA">
      <w:pPr>
        <w:spacing w:after="0" w:line="240" w:lineRule="auto"/>
      </w:pPr>
      <w:r w:rsidRPr="00CB2AEA">
        <w:rPr>
          <w:b/>
          <w:bCs/>
        </w:rPr>
        <w:t>engagement unilatéral = décision volontaire exprimée par l’employeur</w:t>
      </w:r>
    </w:p>
    <w:p w14:paraId="1D143E16" w14:textId="77777777" w:rsidR="00CB2AEA" w:rsidRPr="00CB2AEA" w:rsidRDefault="00CB2AEA" w:rsidP="00CB2AEA">
      <w:pPr>
        <w:spacing w:after="0" w:line="240" w:lineRule="auto"/>
      </w:pPr>
      <w:r w:rsidRPr="00CB2AEA">
        <w:t>Pour dénoncer régulièrement un engagement unilatéral bénéficiant aux salariés, l’employeur doit respecter un délai suffisant permettant d’éventuelles négociations, informer les représentants du personnel et informer individuellement les salariés concernés. (</w:t>
      </w:r>
      <w:hyperlink r:id="rId27" w:tooltip="Cour de cassation, civile, Chambre sociale, 4 octobre 2023 ..." w:history="1">
        <w:r w:rsidRPr="00CB2AEA">
          <w:rPr>
            <w:rStyle w:val="Lienhypertexte"/>
          </w:rPr>
          <w:t>Légifrance</w:t>
        </w:r>
      </w:hyperlink>
      <w:r w:rsidRPr="00CB2AEA">
        <w:t>)</w:t>
      </w:r>
    </w:p>
    <w:p w14:paraId="2C9EA0AB" w14:textId="38ABF524" w:rsidR="00CB2AEA" w:rsidRPr="00CB2AEA" w:rsidRDefault="00CB2AEA" w:rsidP="00CB2AEA">
      <w:pPr>
        <w:pStyle w:val="Titre1"/>
      </w:pPr>
      <w:r w:rsidRPr="00CB2AEA">
        <w:t xml:space="preserve">8. Méthode </w:t>
      </w:r>
      <w:r>
        <w:t>-</w:t>
      </w:r>
      <w:r w:rsidRPr="00CB2AEA">
        <w:t xml:space="preserve"> Résoudre un conflit de normes en droit social</w:t>
      </w:r>
    </w:p>
    <w:p w14:paraId="5C868F52" w14:textId="77777777" w:rsidR="00CB2AEA" w:rsidRPr="00CB2AEA" w:rsidRDefault="00CB2AEA" w:rsidP="00CB2AEA">
      <w:pPr>
        <w:spacing w:after="0" w:line="240" w:lineRule="auto"/>
      </w:pPr>
      <w:r w:rsidRPr="00CB2AEA">
        <w:t>Face à une situation comportant plusieurs règles, il faut procéder dans l’ordre suivant.</w:t>
      </w:r>
    </w:p>
    <w:p w14:paraId="31351668" w14:textId="602037A0" w:rsidR="00CB2AEA" w:rsidRPr="00CB2AEA" w:rsidRDefault="00CB2AEA" w:rsidP="00CB2AEA">
      <w:pPr>
        <w:spacing w:after="0" w:line="240" w:lineRule="auto"/>
        <w:rPr>
          <w:b/>
          <w:bCs/>
        </w:rPr>
      </w:pPr>
      <w:r w:rsidRPr="00CB2AEA">
        <w:rPr>
          <w:b/>
          <w:bCs/>
        </w:rPr>
        <w:t xml:space="preserve">Étape 1 </w:t>
      </w:r>
      <w:r>
        <w:rPr>
          <w:b/>
          <w:bCs/>
        </w:rPr>
        <w:t>-</w:t>
      </w:r>
      <w:r w:rsidRPr="00CB2AEA">
        <w:rPr>
          <w:b/>
          <w:bCs/>
        </w:rPr>
        <w:t xml:space="preserve"> Identifier précisément la question</w:t>
      </w:r>
    </w:p>
    <w:p w14:paraId="5CA9508C" w14:textId="0CB0BB58" w:rsidR="00CB2AEA" w:rsidRPr="00CB2AEA" w:rsidRDefault="00CB2AEA" w:rsidP="00CB2AEA">
      <w:pPr>
        <w:spacing w:after="0" w:line="240" w:lineRule="auto"/>
      </w:pPr>
      <w:r w:rsidRPr="00CB2AEA">
        <w:t>Exemple</w:t>
      </w:r>
      <w:r>
        <w:t> :</w:t>
      </w:r>
      <w:r w:rsidRPr="00CB2AEA">
        <w:t xml:space="preserve"> rémunération minimale, prime, période d’essai, temps de travail, congé…</w:t>
      </w:r>
    </w:p>
    <w:p w14:paraId="6683F09C" w14:textId="3AE17EDC" w:rsidR="00CB2AEA" w:rsidRPr="00CB2AEA" w:rsidRDefault="00CB2AEA" w:rsidP="00CB2AEA">
      <w:pPr>
        <w:spacing w:after="0" w:line="240" w:lineRule="auto"/>
        <w:rPr>
          <w:b/>
          <w:bCs/>
        </w:rPr>
      </w:pPr>
      <w:r w:rsidRPr="00CB2AEA">
        <w:rPr>
          <w:b/>
          <w:bCs/>
        </w:rPr>
        <w:t xml:space="preserve">Étape 2 </w:t>
      </w:r>
      <w:r>
        <w:rPr>
          <w:b/>
          <w:bCs/>
        </w:rPr>
        <w:t>-</w:t>
      </w:r>
      <w:r w:rsidRPr="00CB2AEA">
        <w:rPr>
          <w:b/>
          <w:bCs/>
        </w:rPr>
        <w:t xml:space="preserve"> Identifier toutes les sources applicables</w:t>
      </w:r>
    </w:p>
    <w:p w14:paraId="6EB28422" w14:textId="4436AC7D" w:rsidR="00CB2AEA" w:rsidRPr="00CB2AEA" w:rsidRDefault="00CB2AEA" w:rsidP="00CB2AEA">
      <w:pPr>
        <w:spacing w:after="0" w:line="240" w:lineRule="auto"/>
      </w:pPr>
      <w:r w:rsidRPr="00CB2AEA">
        <w:t>Rechercher notamment</w:t>
      </w:r>
      <w:r>
        <w:t> :</w:t>
      </w:r>
    </w:p>
    <w:p w14:paraId="51840908" w14:textId="77777777" w:rsidR="00CB2AEA" w:rsidRPr="00CB2AEA" w:rsidRDefault="00CB2AEA" w:rsidP="00CB2AEA">
      <w:pPr>
        <w:spacing w:after="0" w:line="240" w:lineRule="auto"/>
      </w:pPr>
      <w:r w:rsidRPr="00CB2AEA">
        <w:rPr>
          <w:b/>
          <w:bCs/>
        </w:rPr>
        <w:t>loi → convention de branche → accord d’entreprise → règlement intérieur / usage / engagement unilatéral → contrat de travail</w:t>
      </w:r>
    </w:p>
    <w:p w14:paraId="515B5B56" w14:textId="7C6BA217" w:rsidR="00CB2AEA" w:rsidRPr="00CB2AEA" w:rsidRDefault="00CB2AEA" w:rsidP="00CB2AEA">
      <w:pPr>
        <w:spacing w:after="0" w:line="240" w:lineRule="auto"/>
        <w:rPr>
          <w:b/>
          <w:bCs/>
        </w:rPr>
      </w:pPr>
      <w:r w:rsidRPr="00CB2AEA">
        <w:rPr>
          <w:b/>
          <w:bCs/>
        </w:rPr>
        <w:t xml:space="preserve">Étape 3 </w:t>
      </w:r>
      <w:r>
        <w:rPr>
          <w:b/>
          <w:bCs/>
        </w:rPr>
        <w:t>-</w:t>
      </w:r>
      <w:r w:rsidRPr="00CB2AEA">
        <w:rPr>
          <w:b/>
          <w:bCs/>
        </w:rPr>
        <w:t xml:space="preserve"> Vérifier le champ d’application de chaque source</w:t>
      </w:r>
    </w:p>
    <w:p w14:paraId="38CBCD81" w14:textId="633AF114" w:rsidR="00CB2AEA" w:rsidRPr="00CB2AEA" w:rsidRDefault="00CB2AEA" w:rsidP="00CB2AEA">
      <w:pPr>
        <w:spacing w:after="0" w:line="240" w:lineRule="auto"/>
      </w:pPr>
      <w:r w:rsidRPr="00CB2AEA">
        <w:t>Pour une convention collective</w:t>
      </w:r>
      <w:r>
        <w:t> :</w:t>
      </w:r>
    </w:p>
    <w:p w14:paraId="7D97B0D7" w14:textId="6A1B9FE0" w:rsidR="00CB2AEA" w:rsidRPr="00CB2AEA" w:rsidRDefault="00CB2AEA">
      <w:pPr>
        <w:numPr>
          <w:ilvl w:val="0"/>
          <w:numId w:val="6"/>
        </w:numPr>
        <w:spacing w:after="0" w:line="240" w:lineRule="auto"/>
      </w:pPr>
      <w:r w:rsidRPr="00CB2AEA">
        <w:t>activité principale</w:t>
      </w:r>
      <w:r>
        <w:t> ;</w:t>
      </w:r>
    </w:p>
    <w:p w14:paraId="3F682649" w14:textId="3A083F0B" w:rsidR="00CB2AEA" w:rsidRPr="00CB2AEA" w:rsidRDefault="00CB2AEA">
      <w:pPr>
        <w:numPr>
          <w:ilvl w:val="0"/>
          <w:numId w:val="6"/>
        </w:numPr>
        <w:spacing w:after="0" w:line="240" w:lineRule="auto"/>
      </w:pPr>
      <w:r w:rsidRPr="00CB2AEA">
        <w:t>champ professionnel</w:t>
      </w:r>
      <w:r>
        <w:t> ;</w:t>
      </w:r>
    </w:p>
    <w:p w14:paraId="199193DE" w14:textId="3A762963" w:rsidR="00CB2AEA" w:rsidRPr="00CB2AEA" w:rsidRDefault="00CB2AEA">
      <w:pPr>
        <w:numPr>
          <w:ilvl w:val="0"/>
          <w:numId w:val="6"/>
        </w:numPr>
        <w:spacing w:after="0" w:line="240" w:lineRule="auto"/>
      </w:pPr>
      <w:r w:rsidRPr="00CB2AEA">
        <w:t>champ territorial</w:t>
      </w:r>
      <w:r>
        <w:t> ;</w:t>
      </w:r>
    </w:p>
    <w:p w14:paraId="00E25ADC" w14:textId="77777777" w:rsidR="00CB2AEA" w:rsidRPr="00CB2AEA" w:rsidRDefault="00CB2AEA">
      <w:pPr>
        <w:numPr>
          <w:ilvl w:val="0"/>
          <w:numId w:val="6"/>
        </w:numPr>
        <w:spacing w:after="0" w:line="240" w:lineRule="auto"/>
      </w:pPr>
      <w:r w:rsidRPr="00CB2AEA">
        <w:t>extension éventuelle.</w:t>
      </w:r>
    </w:p>
    <w:p w14:paraId="06C447AC" w14:textId="64972D8B" w:rsidR="00CB2AEA" w:rsidRPr="00CB2AEA" w:rsidRDefault="00CB2AEA" w:rsidP="00CB2AEA">
      <w:pPr>
        <w:spacing w:after="0" w:line="240" w:lineRule="auto"/>
        <w:rPr>
          <w:b/>
          <w:bCs/>
        </w:rPr>
      </w:pPr>
      <w:r w:rsidRPr="00CB2AEA">
        <w:rPr>
          <w:b/>
          <w:bCs/>
        </w:rPr>
        <w:t xml:space="preserve">Étape 4 </w:t>
      </w:r>
      <w:r>
        <w:rPr>
          <w:b/>
          <w:bCs/>
        </w:rPr>
        <w:t>-</w:t>
      </w:r>
      <w:r w:rsidRPr="00CB2AEA">
        <w:rPr>
          <w:b/>
          <w:bCs/>
        </w:rPr>
        <w:t xml:space="preserve"> Vérifier si la loi contient une règle d’ordre public</w:t>
      </w:r>
    </w:p>
    <w:p w14:paraId="32FE493C" w14:textId="77777777" w:rsidR="00CB2AEA" w:rsidRPr="00CB2AEA" w:rsidRDefault="00CB2AEA" w:rsidP="00CB2AEA">
      <w:pPr>
        <w:spacing w:after="0" w:line="240" w:lineRule="auto"/>
      </w:pPr>
      <w:r w:rsidRPr="00CB2AEA">
        <w:t>Une norme collective ne peut pas écarter une disposition légale impérative.</w:t>
      </w:r>
    </w:p>
    <w:p w14:paraId="604C472B" w14:textId="200CA04E" w:rsidR="00CB2AEA" w:rsidRPr="00CB2AEA" w:rsidRDefault="00CB2AEA" w:rsidP="00CB2AEA">
      <w:pPr>
        <w:spacing w:after="0" w:line="240" w:lineRule="auto"/>
        <w:rPr>
          <w:b/>
          <w:bCs/>
        </w:rPr>
      </w:pPr>
      <w:r w:rsidRPr="00CB2AEA">
        <w:rPr>
          <w:b/>
          <w:bCs/>
        </w:rPr>
        <w:lastRenderedPageBreak/>
        <w:t xml:space="preserve">Étape 5 </w:t>
      </w:r>
      <w:r>
        <w:rPr>
          <w:b/>
          <w:bCs/>
        </w:rPr>
        <w:t>-</w:t>
      </w:r>
      <w:r w:rsidRPr="00CB2AEA">
        <w:rPr>
          <w:b/>
          <w:bCs/>
        </w:rPr>
        <w:t xml:space="preserve"> En cas de conflit branche/entreprise, identifier le bloc</w:t>
      </w:r>
    </w:p>
    <w:tbl>
      <w:tblPr>
        <w:tblStyle w:val="Grilledutableau"/>
        <w:tblW w:w="0" w:type="auto"/>
        <w:tblLook w:val="04A0" w:firstRow="1" w:lastRow="0" w:firstColumn="1" w:lastColumn="0" w:noHBand="0" w:noVBand="1"/>
      </w:tblPr>
      <w:tblGrid>
        <w:gridCol w:w="1654"/>
        <w:gridCol w:w="6130"/>
      </w:tblGrid>
      <w:tr w:rsidR="00CB2AEA" w:rsidRPr="00CB2AEA" w14:paraId="6D7A30C1" w14:textId="77777777" w:rsidTr="00CB2AEA">
        <w:trPr>
          <w:tblHeader/>
        </w:trPr>
        <w:tc>
          <w:tcPr>
            <w:tcW w:w="0" w:type="auto"/>
            <w:hideMark/>
          </w:tcPr>
          <w:p w14:paraId="69531FF0"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Situation</w:t>
            </w:r>
          </w:p>
        </w:tc>
        <w:tc>
          <w:tcPr>
            <w:tcW w:w="0" w:type="auto"/>
            <w:hideMark/>
          </w:tcPr>
          <w:p w14:paraId="34FD1E25"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Règle</w:t>
            </w:r>
          </w:p>
        </w:tc>
      </w:tr>
      <w:tr w:rsidR="00CB2AEA" w:rsidRPr="00CB2AEA" w14:paraId="61320C3A" w14:textId="77777777" w:rsidTr="00CB2AEA">
        <w:tc>
          <w:tcPr>
            <w:tcW w:w="0" w:type="auto"/>
            <w:hideMark/>
          </w:tcPr>
          <w:p w14:paraId="03AD489D" w14:textId="77777777" w:rsidR="00CB2AEA" w:rsidRPr="00CB2AEA" w:rsidRDefault="00CB2AEA" w:rsidP="00CB2AEA">
            <w:pPr>
              <w:jc w:val="left"/>
              <w:rPr>
                <w:rFonts w:ascii="Calibri" w:hAnsi="Calibri" w:cs="Calibri"/>
                <w:sz w:val="20"/>
              </w:rPr>
            </w:pPr>
            <w:r w:rsidRPr="00CB2AEA">
              <w:rPr>
                <w:rFonts w:ascii="Calibri" w:hAnsi="Calibri" w:cs="Calibri"/>
                <w:sz w:val="20"/>
              </w:rPr>
              <w:t xml:space="preserve">Matière du </w:t>
            </w:r>
            <w:r w:rsidRPr="00CB2AEA">
              <w:rPr>
                <w:rFonts w:ascii="Calibri" w:hAnsi="Calibri" w:cs="Calibri"/>
                <w:b/>
                <w:bCs/>
                <w:sz w:val="20"/>
              </w:rPr>
              <w:t>bloc 1</w:t>
            </w:r>
          </w:p>
        </w:tc>
        <w:tc>
          <w:tcPr>
            <w:tcW w:w="0" w:type="auto"/>
            <w:hideMark/>
          </w:tcPr>
          <w:p w14:paraId="29C7631D" w14:textId="77777777" w:rsidR="00CB2AEA" w:rsidRPr="00CB2AEA" w:rsidRDefault="00CB2AEA" w:rsidP="00CB2AEA">
            <w:pPr>
              <w:jc w:val="left"/>
              <w:rPr>
                <w:rFonts w:ascii="Calibri" w:hAnsi="Calibri" w:cs="Calibri"/>
                <w:sz w:val="20"/>
              </w:rPr>
            </w:pPr>
            <w:r w:rsidRPr="00CB2AEA">
              <w:rPr>
                <w:rFonts w:ascii="Calibri" w:hAnsi="Calibri" w:cs="Calibri"/>
                <w:sz w:val="20"/>
              </w:rPr>
              <w:t>Branche, sauf garanties au moins équivalentes dans l’entreprise</w:t>
            </w:r>
          </w:p>
        </w:tc>
      </w:tr>
      <w:tr w:rsidR="00CB2AEA" w:rsidRPr="00CB2AEA" w14:paraId="03A52B9A" w14:textId="77777777" w:rsidTr="00CB2AEA">
        <w:tc>
          <w:tcPr>
            <w:tcW w:w="0" w:type="auto"/>
            <w:hideMark/>
          </w:tcPr>
          <w:p w14:paraId="580BEBDA" w14:textId="77777777" w:rsidR="00CB2AEA" w:rsidRPr="00CB2AEA" w:rsidRDefault="00CB2AEA" w:rsidP="00CB2AEA">
            <w:pPr>
              <w:jc w:val="left"/>
              <w:rPr>
                <w:rFonts w:ascii="Calibri" w:hAnsi="Calibri" w:cs="Calibri"/>
                <w:sz w:val="20"/>
              </w:rPr>
            </w:pPr>
            <w:r w:rsidRPr="00CB2AEA">
              <w:rPr>
                <w:rFonts w:ascii="Calibri" w:hAnsi="Calibri" w:cs="Calibri"/>
                <w:sz w:val="20"/>
              </w:rPr>
              <w:t xml:space="preserve">Matière du </w:t>
            </w:r>
            <w:r w:rsidRPr="00CB2AEA">
              <w:rPr>
                <w:rFonts w:ascii="Calibri" w:hAnsi="Calibri" w:cs="Calibri"/>
                <w:b/>
                <w:bCs/>
                <w:sz w:val="20"/>
              </w:rPr>
              <w:t>bloc 2</w:t>
            </w:r>
          </w:p>
        </w:tc>
        <w:tc>
          <w:tcPr>
            <w:tcW w:w="0" w:type="auto"/>
            <w:hideMark/>
          </w:tcPr>
          <w:p w14:paraId="5C6401C8" w14:textId="77777777" w:rsidR="00CB2AEA" w:rsidRPr="00CB2AEA" w:rsidRDefault="00CB2AEA" w:rsidP="00CB2AEA">
            <w:pPr>
              <w:jc w:val="left"/>
              <w:rPr>
                <w:rFonts w:ascii="Calibri" w:hAnsi="Calibri" w:cs="Calibri"/>
                <w:sz w:val="20"/>
              </w:rPr>
            </w:pPr>
            <w:r w:rsidRPr="00CB2AEA">
              <w:rPr>
                <w:rFonts w:ascii="Calibri" w:hAnsi="Calibri" w:cs="Calibri"/>
                <w:sz w:val="20"/>
              </w:rPr>
              <w:t>Branche si elle a prévu sa primauté, sauf garanties au moins équivalentes</w:t>
            </w:r>
          </w:p>
        </w:tc>
      </w:tr>
      <w:tr w:rsidR="00CB2AEA" w:rsidRPr="00CB2AEA" w14:paraId="63AF169C" w14:textId="77777777" w:rsidTr="00CB2AEA">
        <w:tc>
          <w:tcPr>
            <w:tcW w:w="0" w:type="auto"/>
            <w:hideMark/>
          </w:tcPr>
          <w:p w14:paraId="72867388" w14:textId="77777777" w:rsidR="00CB2AEA" w:rsidRPr="00CB2AEA" w:rsidRDefault="00CB2AEA" w:rsidP="00CB2AEA">
            <w:pPr>
              <w:jc w:val="left"/>
              <w:rPr>
                <w:rFonts w:ascii="Calibri" w:hAnsi="Calibri" w:cs="Calibri"/>
                <w:sz w:val="20"/>
              </w:rPr>
            </w:pPr>
            <w:r w:rsidRPr="00CB2AEA">
              <w:rPr>
                <w:rFonts w:ascii="Calibri" w:hAnsi="Calibri" w:cs="Calibri"/>
                <w:sz w:val="20"/>
              </w:rPr>
              <w:t xml:space="preserve">Matière du </w:t>
            </w:r>
            <w:r w:rsidRPr="00CB2AEA">
              <w:rPr>
                <w:rFonts w:ascii="Calibri" w:hAnsi="Calibri" w:cs="Calibri"/>
                <w:b/>
                <w:bCs/>
                <w:sz w:val="20"/>
              </w:rPr>
              <w:t>bloc 3</w:t>
            </w:r>
          </w:p>
        </w:tc>
        <w:tc>
          <w:tcPr>
            <w:tcW w:w="0" w:type="auto"/>
            <w:hideMark/>
          </w:tcPr>
          <w:p w14:paraId="2B0B1847" w14:textId="77777777" w:rsidR="00CB2AEA" w:rsidRPr="00CB2AEA" w:rsidRDefault="00CB2AEA" w:rsidP="00CB2AEA">
            <w:pPr>
              <w:jc w:val="left"/>
              <w:rPr>
                <w:rFonts w:ascii="Calibri" w:hAnsi="Calibri" w:cs="Calibri"/>
                <w:sz w:val="20"/>
              </w:rPr>
            </w:pPr>
            <w:r w:rsidRPr="00CB2AEA">
              <w:rPr>
                <w:rFonts w:ascii="Calibri" w:hAnsi="Calibri" w:cs="Calibri"/>
                <w:sz w:val="20"/>
              </w:rPr>
              <w:t>Accord d’entreprise prioritaire</w:t>
            </w:r>
          </w:p>
        </w:tc>
      </w:tr>
    </w:tbl>
    <w:p w14:paraId="4F034F10" w14:textId="6F8C9FAB" w:rsidR="00CB2AEA" w:rsidRPr="00CB2AEA" w:rsidRDefault="00CB2AEA" w:rsidP="00CB2AEA">
      <w:pPr>
        <w:spacing w:after="0" w:line="240" w:lineRule="auto"/>
        <w:rPr>
          <w:b/>
          <w:bCs/>
        </w:rPr>
      </w:pPr>
      <w:r w:rsidRPr="00CB2AEA">
        <w:rPr>
          <w:b/>
          <w:bCs/>
        </w:rPr>
        <w:t xml:space="preserve">Étape 6 </w:t>
      </w:r>
      <w:r>
        <w:rPr>
          <w:b/>
          <w:bCs/>
        </w:rPr>
        <w:t>-</w:t>
      </w:r>
      <w:r w:rsidRPr="00CB2AEA">
        <w:rPr>
          <w:b/>
          <w:bCs/>
        </w:rPr>
        <w:t xml:space="preserve"> Vérifier le contrat de travail</w:t>
      </w:r>
    </w:p>
    <w:p w14:paraId="4CFD0456" w14:textId="77777777" w:rsidR="00CB2AEA" w:rsidRPr="00CB2AEA" w:rsidRDefault="00CB2AEA" w:rsidP="00CB2AEA">
      <w:pPr>
        <w:spacing w:after="0" w:line="240" w:lineRule="auto"/>
      </w:pPr>
      <w:r w:rsidRPr="00CB2AEA">
        <w:t>Lorsqu’un accord collectif s’applique, une stipulation contractuelle plus favorable demeure en principe applicable. (</w:t>
      </w:r>
      <w:hyperlink r:id="rId28" w:tooltip="Article L2254-1 - Code du travail" w:history="1">
        <w:r w:rsidRPr="00CB2AEA">
          <w:rPr>
            <w:rStyle w:val="Lienhypertexte"/>
          </w:rPr>
          <w:t>Légifrance</w:t>
        </w:r>
      </w:hyperlink>
      <w:r w:rsidRPr="00CB2AEA">
        <w:t>)</w:t>
      </w:r>
    </w:p>
    <w:p w14:paraId="219C23D2" w14:textId="3B261EE7" w:rsidR="00CB2AEA" w:rsidRPr="00CB2AEA" w:rsidRDefault="00CB2AEA" w:rsidP="00CB2AEA">
      <w:pPr>
        <w:spacing w:after="0" w:line="240" w:lineRule="auto"/>
        <w:rPr>
          <w:b/>
          <w:bCs/>
        </w:rPr>
      </w:pPr>
      <w:r w:rsidRPr="00CB2AEA">
        <w:rPr>
          <w:b/>
          <w:bCs/>
        </w:rPr>
        <w:t xml:space="preserve">Étape 7 </w:t>
      </w:r>
      <w:r>
        <w:rPr>
          <w:b/>
          <w:bCs/>
        </w:rPr>
        <w:t>-</w:t>
      </w:r>
      <w:r w:rsidRPr="00CB2AEA">
        <w:rPr>
          <w:b/>
          <w:bCs/>
        </w:rPr>
        <w:t xml:space="preserve"> Conclure explicitement</w:t>
      </w:r>
    </w:p>
    <w:p w14:paraId="7E16FB30" w14:textId="77777777" w:rsidR="00CB2AEA" w:rsidRPr="00CB2AEA" w:rsidRDefault="00CB2AEA" w:rsidP="00CB2AEA">
      <w:pPr>
        <w:spacing w:after="0" w:line="240" w:lineRule="auto"/>
      </w:pPr>
      <w:r w:rsidRPr="00CB2AEA">
        <w:t xml:space="preserve">Il faut identifier </w:t>
      </w:r>
      <w:r w:rsidRPr="00CB2AEA">
        <w:rPr>
          <w:b/>
          <w:bCs/>
        </w:rPr>
        <w:t>la règle effectivement applicable au salarié</w:t>
      </w:r>
      <w:r w:rsidRPr="00CB2AEA">
        <w:t xml:space="preserve"> et justifier juridiquement pourquoi elle prévaut.</w:t>
      </w:r>
    </w:p>
    <w:p w14:paraId="52AF60B7" w14:textId="77777777" w:rsidR="00CB2AEA" w:rsidRPr="00CB2AEA" w:rsidRDefault="00CB2AEA" w:rsidP="00CB2AEA">
      <w:pPr>
        <w:pStyle w:val="Titre1"/>
      </w:pPr>
      <w:r w:rsidRPr="00CB2AEA">
        <w:t>9. Exemple type examen</w:t>
      </w:r>
    </w:p>
    <w:p w14:paraId="2D1E251F" w14:textId="77777777" w:rsidR="00CB2AEA" w:rsidRPr="00CB2AEA" w:rsidRDefault="00CB2AEA" w:rsidP="00CB2AEA">
      <w:pPr>
        <w:spacing w:after="0" w:line="240" w:lineRule="auto"/>
      </w:pPr>
      <w:r w:rsidRPr="00CB2AEA">
        <w:rPr>
          <w:b/>
          <w:bCs/>
        </w:rPr>
        <w:t>Situation</w:t>
      </w:r>
    </w:p>
    <w:p w14:paraId="7882EB87" w14:textId="0961D2BD" w:rsidR="00CB2AEA" w:rsidRPr="00CB2AEA" w:rsidRDefault="00CB2AEA" w:rsidP="00CB2AEA">
      <w:pPr>
        <w:spacing w:after="0" w:line="240" w:lineRule="auto"/>
      </w:pPr>
      <w:r w:rsidRPr="00CB2AEA">
        <w:t>La convention collective applicable à la société NOVATEC prévoit</w:t>
      </w:r>
      <w:r>
        <w:t> :</w:t>
      </w:r>
    </w:p>
    <w:p w14:paraId="51928F01" w14:textId="67464C27" w:rsidR="00CB2AEA" w:rsidRPr="00CB2AEA" w:rsidRDefault="00CB2AEA">
      <w:pPr>
        <w:numPr>
          <w:ilvl w:val="0"/>
          <w:numId w:val="7"/>
        </w:numPr>
        <w:spacing w:after="0" w:line="240" w:lineRule="auto"/>
      </w:pPr>
      <w:r w:rsidRPr="00CB2AEA">
        <w:t>un salaire minimum hiérarchique de 2 300</w:t>
      </w:r>
      <w:r>
        <w:t> €</w:t>
      </w:r>
      <w:r w:rsidRPr="00CB2AEA">
        <w:t xml:space="preserve"> pour les techniciens de niveau IV</w:t>
      </w:r>
      <w:r>
        <w:t> ;</w:t>
      </w:r>
    </w:p>
    <w:p w14:paraId="7E850807" w14:textId="7962328D" w:rsidR="00CB2AEA" w:rsidRPr="00CB2AEA" w:rsidRDefault="00CB2AEA">
      <w:pPr>
        <w:numPr>
          <w:ilvl w:val="0"/>
          <w:numId w:val="7"/>
        </w:numPr>
        <w:spacing w:after="0" w:line="240" w:lineRule="auto"/>
      </w:pPr>
      <w:r w:rsidRPr="00CB2AEA">
        <w:t>une prime d’ancienneté de 5</w:t>
      </w:r>
      <w:r>
        <w:t> %</w:t>
      </w:r>
      <w:r w:rsidRPr="00CB2AEA">
        <w:t xml:space="preserve"> après cinq années de présence.</w:t>
      </w:r>
    </w:p>
    <w:p w14:paraId="5091FF9C" w14:textId="51FD542C" w:rsidR="00CB2AEA" w:rsidRPr="00CB2AEA" w:rsidRDefault="00CB2AEA" w:rsidP="00CB2AEA">
      <w:pPr>
        <w:spacing w:after="0" w:line="240" w:lineRule="auto"/>
      </w:pPr>
      <w:r w:rsidRPr="00CB2AEA">
        <w:t>Un accord d’entreprise postérieur prévoit</w:t>
      </w:r>
      <w:r>
        <w:t> :</w:t>
      </w:r>
    </w:p>
    <w:p w14:paraId="0C07E24F" w14:textId="6B7127C7" w:rsidR="00CB2AEA" w:rsidRPr="00CB2AEA" w:rsidRDefault="00CB2AEA">
      <w:pPr>
        <w:numPr>
          <w:ilvl w:val="0"/>
          <w:numId w:val="8"/>
        </w:numPr>
        <w:spacing w:after="0" w:line="240" w:lineRule="auto"/>
      </w:pPr>
      <w:r w:rsidRPr="00CB2AEA">
        <w:t>un salaire minimum de 2 150</w:t>
      </w:r>
      <w:r>
        <w:t> € ;</w:t>
      </w:r>
    </w:p>
    <w:p w14:paraId="2581B3FD" w14:textId="217DD101" w:rsidR="00CB2AEA" w:rsidRPr="00CB2AEA" w:rsidRDefault="00CB2AEA">
      <w:pPr>
        <w:numPr>
          <w:ilvl w:val="0"/>
          <w:numId w:val="8"/>
        </w:numPr>
        <w:spacing w:after="0" w:line="240" w:lineRule="auto"/>
      </w:pPr>
      <w:r w:rsidRPr="00CB2AEA">
        <w:t>une prime d’ancienneté de 3</w:t>
      </w:r>
      <w:r>
        <w:t> %</w:t>
      </w:r>
      <w:r w:rsidRPr="00CB2AEA">
        <w:t xml:space="preserve"> après cinq années.</w:t>
      </w:r>
    </w:p>
    <w:p w14:paraId="7BE2A8BA" w14:textId="77777777" w:rsidR="00CB2AEA" w:rsidRPr="00CB2AEA" w:rsidRDefault="00CB2AEA" w:rsidP="00CB2AEA">
      <w:pPr>
        <w:spacing w:after="0" w:line="240" w:lineRule="auto"/>
      </w:pPr>
      <w:r w:rsidRPr="00CB2AEA">
        <w:t>Pierre, technicien de niveau IV ayant six ans d’ancienneté, demande quelles règles doivent lui être appliquées.</w:t>
      </w:r>
    </w:p>
    <w:p w14:paraId="416FF423" w14:textId="77777777" w:rsidR="00CB2AEA" w:rsidRPr="00CB2AEA" w:rsidRDefault="00CB2AEA" w:rsidP="00CB2AEA">
      <w:pPr>
        <w:pStyle w:val="Titre1"/>
      </w:pPr>
      <w:r w:rsidRPr="00CB2AEA">
        <w:t>1. Le salaire minimum</w:t>
      </w:r>
    </w:p>
    <w:p w14:paraId="7EF5B342" w14:textId="77777777" w:rsidR="00CB2AEA" w:rsidRPr="00CB2AEA" w:rsidRDefault="00CB2AEA" w:rsidP="00CB2AEA">
      <w:pPr>
        <w:spacing w:after="0" w:line="240" w:lineRule="auto"/>
      </w:pPr>
      <w:r w:rsidRPr="00CB2AEA">
        <w:rPr>
          <w:b/>
          <w:bCs/>
        </w:rPr>
        <w:t>Règle de droit</w:t>
      </w:r>
    </w:p>
    <w:p w14:paraId="32EAF54C" w14:textId="77777777" w:rsidR="00CB2AEA" w:rsidRPr="00CB2AEA" w:rsidRDefault="00CB2AEA" w:rsidP="00CB2AEA">
      <w:pPr>
        <w:spacing w:after="0" w:line="240" w:lineRule="auto"/>
      </w:pPr>
      <w:r w:rsidRPr="00CB2AEA">
        <w:t xml:space="preserve">Les salaires minima hiérarchiques appartiennent au </w:t>
      </w:r>
      <w:r w:rsidRPr="00CB2AEA">
        <w:rPr>
          <w:b/>
          <w:bCs/>
        </w:rPr>
        <w:t>bloc 1</w:t>
      </w:r>
      <w:r w:rsidRPr="00CB2AEA">
        <w:t>. La convention de branche prévaut sur l’accord d’entreprise, sauf si celui-ci garantit un niveau au moins équivalent. (</w:t>
      </w:r>
      <w:hyperlink r:id="rId29" w:tooltip="Article L2253-1 - Code du travail - Légifrance" w:history="1">
        <w:r w:rsidRPr="00CB2AEA">
          <w:rPr>
            <w:rStyle w:val="Lienhypertexte"/>
          </w:rPr>
          <w:t>Légifrance</w:t>
        </w:r>
      </w:hyperlink>
      <w:r w:rsidRPr="00CB2AEA">
        <w:t>)</w:t>
      </w:r>
    </w:p>
    <w:p w14:paraId="7AD12412" w14:textId="77777777" w:rsidR="00CB2AEA" w:rsidRPr="00CB2AEA" w:rsidRDefault="00CB2AEA" w:rsidP="00CB2AEA">
      <w:pPr>
        <w:spacing w:after="0" w:line="240" w:lineRule="auto"/>
      </w:pPr>
      <w:r w:rsidRPr="00CB2AEA">
        <w:rPr>
          <w:b/>
          <w:bCs/>
        </w:rPr>
        <w:t>Application</w:t>
      </w:r>
    </w:p>
    <w:p w14:paraId="4461C0F9" w14:textId="45BD833B" w:rsidR="00CB2AEA" w:rsidRPr="00CB2AEA" w:rsidRDefault="00CB2AEA" w:rsidP="00CB2AEA">
      <w:pPr>
        <w:spacing w:after="0" w:line="240" w:lineRule="auto"/>
      </w:pPr>
      <w:r w:rsidRPr="00CB2AEA">
        <w:t>L’accord d’entreprise prévoit 2 150</w:t>
      </w:r>
      <w:r>
        <w:t> €</w:t>
      </w:r>
      <w:r w:rsidRPr="00CB2AEA">
        <w:t xml:space="preserve"> contre 2 300</w:t>
      </w:r>
      <w:r>
        <w:t> €</w:t>
      </w:r>
      <w:r w:rsidRPr="00CB2AEA">
        <w:t xml:space="preserve"> dans la branche et aucune autre garantie équivalente n’est indiquée.</w:t>
      </w:r>
    </w:p>
    <w:p w14:paraId="7534E2CD" w14:textId="77777777" w:rsidR="00CB2AEA" w:rsidRPr="00CB2AEA" w:rsidRDefault="00CB2AEA" w:rsidP="00CB2AEA">
      <w:pPr>
        <w:spacing w:after="0" w:line="240" w:lineRule="auto"/>
      </w:pPr>
      <w:r w:rsidRPr="00CB2AEA">
        <w:rPr>
          <w:b/>
          <w:bCs/>
        </w:rPr>
        <w:t>Conclusion</w:t>
      </w:r>
    </w:p>
    <w:p w14:paraId="08EDC438" w14:textId="126B3AFC" w:rsidR="00CB2AEA" w:rsidRPr="00CB2AEA" w:rsidRDefault="00CB2AEA" w:rsidP="00CB2AEA">
      <w:pPr>
        <w:spacing w:after="0" w:line="240" w:lineRule="auto"/>
      </w:pPr>
      <w:r w:rsidRPr="00CB2AEA">
        <w:t xml:space="preserve">Pierre doit bénéficier du salaire minimum conventionnel de </w:t>
      </w:r>
      <w:r w:rsidRPr="00CB2AEA">
        <w:rPr>
          <w:b/>
          <w:bCs/>
        </w:rPr>
        <w:t>2 300</w:t>
      </w:r>
      <w:r>
        <w:rPr>
          <w:b/>
          <w:bCs/>
        </w:rPr>
        <w:t> €</w:t>
      </w:r>
      <w:r w:rsidRPr="00CB2AEA">
        <w:t>.</w:t>
      </w:r>
    </w:p>
    <w:p w14:paraId="248D41A2" w14:textId="77777777" w:rsidR="00CB2AEA" w:rsidRPr="00CB2AEA" w:rsidRDefault="00CB2AEA" w:rsidP="00CB2AEA">
      <w:pPr>
        <w:pStyle w:val="Titre1"/>
      </w:pPr>
      <w:r w:rsidRPr="00CB2AEA">
        <w:t>2. La prime d’ancienneté</w:t>
      </w:r>
    </w:p>
    <w:p w14:paraId="5A1B9A8C" w14:textId="77777777" w:rsidR="00CB2AEA" w:rsidRPr="00CB2AEA" w:rsidRDefault="00CB2AEA" w:rsidP="00CB2AEA">
      <w:pPr>
        <w:spacing w:after="0" w:line="240" w:lineRule="auto"/>
      </w:pPr>
      <w:r w:rsidRPr="00CB2AEA">
        <w:rPr>
          <w:b/>
          <w:bCs/>
        </w:rPr>
        <w:t>Règle de droit</w:t>
      </w:r>
    </w:p>
    <w:p w14:paraId="7004DDA0" w14:textId="77777777" w:rsidR="00CB2AEA" w:rsidRPr="00CB2AEA" w:rsidRDefault="00CB2AEA" w:rsidP="00CB2AEA">
      <w:pPr>
        <w:spacing w:after="0" w:line="240" w:lineRule="auto"/>
      </w:pPr>
      <w:r w:rsidRPr="00CB2AEA">
        <w:t>Une prime d’ancienneté distincte du salaire minimum hiérarchique n’appartient ni au bloc 1 ni au bloc 2. Dans les autres matières, l’accord d’entreprise prévaut sur la convention de branche lorsqu’ils ont le même objet. (</w:t>
      </w:r>
      <w:hyperlink r:id="rId30" w:tooltip="Article L2253-3 - Code du travail - Légifrance" w:history="1">
        <w:r w:rsidRPr="00CB2AEA">
          <w:rPr>
            <w:rStyle w:val="Lienhypertexte"/>
          </w:rPr>
          <w:t>Légifrance</w:t>
        </w:r>
      </w:hyperlink>
      <w:r w:rsidRPr="00CB2AEA">
        <w:t>)</w:t>
      </w:r>
    </w:p>
    <w:p w14:paraId="05B72B21" w14:textId="77777777" w:rsidR="00CB2AEA" w:rsidRPr="00CB2AEA" w:rsidRDefault="00CB2AEA" w:rsidP="00CB2AEA">
      <w:pPr>
        <w:spacing w:after="0" w:line="240" w:lineRule="auto"/>
      </w:pPr>
      <w:r w:rsidRPr="00CB2AEA">
        <w:rPr>
          <w:b/>
          <w:bCs/>
        </w:rPr>
        <w:t>Application</w:t>
      </w:r>
    </w:p>
    <w:p w14:paraId="5EFE48F5" w14:textId="7A56DBE5" w:rsidR="00CB2AEA" w:rsidRPr="00CB2AEA" w:rsidRDefault="00CB2AEA" w:rsidP="00CB2AEA">
      <w:pPr>
        <w:spacing w:after="0" w:line="240" w:lineRule="auto"/>
      </w:pPr>
      <w:r w:rsidRPr="00CB2AEA">
        <w:t>L’accord d’entreprise fixe la prime à 3</w:t>
      </w:r>
      <w:r>
        <w:t> %</w:t>
      </w:r>
      <w:r w:rsidRPr="00CB2AEA">
        <w:t>.</w:t>
      </w:r>
    </w:p>
    <w:p w14:paraId="5C41D324" w14:textId="77777777" w:rsidR="00CB2AEA" w:rsidRPr="00CB2AEA" w:rsidRDefault="00CB2AEA" w:rsidP="00CB2AEA">
      <w:pPr>
        <w:spacing w:after="0" w:line="240" w:lineRule="auto"/>
      </w:pPr>
      <w:r w:rsidRPr="00CB2AEA">
        <w:rPr>
          <w:b/>
          <w:bCs/>
        </w:rPr>
        <w:t>Conclusion</w:t>
      </w:r>
    </w:p>
    <w:p w14:paraId="644DFABF" w14:textId="75FF89B1" w:rsidR="00CB2AEA" w:rsidRPr="00CB2AEA" w:rsidRDefault="00CB2AEA" w:rsidP="00CB2AEA">
      <w:pPr>
        <w:spacing w:after="0" w:line="240" w:lineRule="auto"/>
      </w:pPr>
      <w:r w:rsidRPr="00CB2AEA">
        <w:t xml:space="preserve">La prime d’ancienneté applicable à Pierre est donc de </w:t>
      </w:r>
      <w:r w:rsidRPr="00CB2AEA">
        <w:rPr>
          <w:b/>
          <w:bCs/>
        </w:rPr>
        <w:t>3</w:t>
      </w:r>
      <w:r>
        <w:rPr>
          <w:b/>
          <w:bCs/>
        </w:rPr>
        <w:t> %</w:t>
      </w:r>
      <w:r w:rsidRPr="00CB2AEA">
        <w:t>, même si la convention de branche prévoyait 5</w:t>
      </w:r>
      <w:r>
        <w:t> %</w:t>
      </w:r>
      <w:r w:rsidRPr="00CB2AEA">
        <w:t>.</w:t>
      </w:r>
    </w:p>
    <w:p w14:paraId="1E995618" w14:textId="77777777" w:rsidR="00CB2AEA" w:rsidRPr="00CB2AEA" w:rsidRDefault="00CB2AEA" w:rsidP="00CB2AEA">
      <w:pPr>
        <w:pStyle w:val="Titre1"/>
      </w:pPr>
      <w:r w:rsidRPr="00CB2AEA">
        <w:t>10. Erreurs à éviter à l’examen</w:t>
      </w:r>
    </w:p>
    <w:tbl>
      <w:tblPr>
        <w:tblStyle w:val="Grilledutableau"/>
        <w:tblW w:w="0" w:type="auto"/>
        <w:tblLook w:val="04A0" w:firstRow="1" w:lastRow="0" w:firstColumn="1" w:lastColumn="0" w:noHBand="0" w:noVBand="1"/>
      </w:tblPr>
      <w:tblGrid>
        <w:gridCol w:w="5280"/>
        <w:gridCol w:w="5176"/>
      </w:tblGrid>
      <w:tr w:rsidR="00CB2AEA" w:rsidRPr="00CB2AEA" w14:paraId="48F87149" w14:textId="77777777" w:rsidTr="00CB2AEA">
        <w:trPr>
          <w:tblHeader/>
        </w:trPr>
        <w:tc>
          <w:tcPr>
            <w:tcW w:w="0" w:type="auto"/>
            <w:hideMark/>
          </w:tcPr>
          <w:p w14:paraId="7B888EFD"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Erreur</w:t>
            </w:r>
          </w:p>
        </w:tc>
        <w:tc>
          <w:tcPr>
            <w:tcW w:w="0" w:type="auto"/>
            <w:hideMark/>
          </w:tcPr>
          <w:p w14:paraId="40E2698F"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Correction</w:t>
            </w:r>
          </w:p>
        </w:tc>
      </w:tr>
      <w:tr w:rsidR="00CB2AEA" w:rsidRPr="00CB2AEA" w14:paraId="4065F7C9" w14:textId="77777777" w:rsidTr="00CB2AEA">
        <w:tc>
          <w:tcPr>
            <w:tcW w:w="0" w:type="auto"/>
            <w:hideMark/>
          </w:tcPr>
          <w:p w14:paraId="7E1ECB4B" w14:textId="58DCFFFE" w:rsidR="00CB2AEA" w:rsidRPr="00CB2AEA" w:rsidRDefault="00CB2AEA" w:rsidP="00CB2AEA">
            <w:pPr>
              <w:jc w:val="left"/>
              <w:rPr>
                <w:rFonts w:ascii="Calibri" w:hAnsi="Calibri" w:cs="Calibri"/>
                <w:sz w:val="20"/>
              </w:rPr>
            </w:pPr>
            <w:r w:rsidRPr="00CB2AEA">
              <w:rPr>
                <w:rFonts w:ascii="Calibri" w:hAnsi="Calibri" w:cs="Calibri"/>
                <w:sz w:val="20"/>
              </w:rPr>
              <w:t>« </w:t>
            </w:r>
            <w:r w:rsidRPr="00CB2AEA">
              <w:rPr>
                <w:rFonts w:ascii="Calibri" w:hAnsi="Calibri" w:cs="Calibri"/>
                <w:sz w:val="20"/>
              </w:rPr>
              <w:t>La règle la plus favorable s’applique toujours</w:t>
            </w:r>
            <w:r w:rsidRPr="00CB2AEA">
              <w:rPr>
                <w:rFonts w:ascii="Calibri" w:hAnsi="Calibri" w:cs="Calibri"/>
                <w:sz w:val="20"/>
              </w:rPr>
              <w:t> »</w:t>
            </w:r>
          </w:p>
        </w:tc>
        <w:tc>
          <w:tcPr>
            <w:tcW w:w="0" w:type="auto"/>
            <w:hideMark/>
          </w:tcPr>
          <w:p w14:paraId="7E69EAE9" w14:textId="695D3542" w:rsidR="00CB2AEA" w:rsidRPr="00CB2AEA" w:rsidRDefault="00CB2AEA" w:rsidP="00CB2AEA">
            <w:pPr>
              <w:jc w:val="left"/>
              <w:rPr>
                <w:rFonts w:ascii="Calibri" w:hAnsi="Calibri" w:cs="Calibri"/>
                <w:sz w:val="20"/>
              </w:rPr>
            </w:pPr>
            <w:r w:rsidRPr="00CB2AEA">
              <w:rPr>
                <w:rFonts w:ascii="Calibri" w:hAnsi="Calibri" w:cs="Calibri"/>
                <w:sz w:val="20"/>
              </w:rPr>
              <w:t>Faux</w:t>
            </w:r>
            <w:r w:rsidRPr="00CB2AEA">
              <w:rPr>
                <w:rFonts w:ascii="Calibri" w:hAnsi="Calibri" w:cs="Calibri"/>
                <w:sz w:val="20"/>
              </w:rPr>
              <w:t> :</w:t>
            </w:r>
            <w:r w:rsidRPr="00CB2AEA">
              <w:rPr>
                <w:rFonts w:ascii="Calibri" w:hAnsi="Calibri" w:cs="Calibri"/>
                <w:sz w:val="20"/>
              </w:rPr>
              <w:t xml:space="preserve"> commencer par déterminer les règles d’articulation applicables</w:t>
            </w:r>
          </w:p>
        </w:tc>
      </w:tr>
      <w:tr w:rsidR="00CB2AEA" w:rsidRPr="00CB2AEA" w14:paraId="6BDB8B55" w14:textId="77777777" w:rsidTr="00CB2AEA">
        <w:tc>
          <w:tcPr>
            <w:tcW w:w="0" w:type="auto"/>
            <w:hideMark/>
          </w:tcPr>
          <w:p w14:paraId="22DFBFB3" w14:textId="3A8EFDA6" w:rsidR="00CB2AEA" w:rsidRPr="00CB2AEA" w:rsidRDefault="00CB2AEA" w:rsidP="00CB2AEA">
            <w:pPr>
              <w:jc w:val="left"/>
              <w:rPr>
                <w:rFonts w:ascii="Calibri" w:hAnsi="Calibri" w:cs="Calibri"/>
                <w:sz w:val="20"/>
              </w:rPr>
            </w:pPr>
            <w:r w:rsidRPr="00CB2AEA">
              <w:rPr>
                <w:rFonts w:ascii="Calibri" w:hAnsi="Calibri" w:cs="Calibri"/>
                <w:sz w:val="20"/>
              </w:rPr>
              <w:t>« </w:t>
            </w:r>
            <w:r w:rsidRPr="00CB2AEA">
              <w:rPr>
                <w:rFonts w:ascii="Calibri" w:hAnsi="Calibri" w:cs="Calibri"/>
                <w:sz w:val="20"/>
              </w:rPr>
              <w:t>La convention de branche est toujours supérieure à l’accord d’entreprise</w:t>
            </w:r>
            <w:r w:rsidRPr="00CB2AEA">
              <w:rPr>
                <w:rFonts w:ascii="Calibri" w:hAnsi="Calibri" w:cs="Calibri"/>
                <w:sz w:val="20"/>
              </w:rPr>
              <w:t> »</w:t>
            </w:r>
          </w:p>
        </w:tc>
        <w:tc>
          <w:tcPr>
            <w:tcW w:w="0" w:type="auto"/>
            <w:hideMark/>
          </w:tcPr>
          <w:p w14:paraId="7CC9FC28" w14:textId="6BB4BC97" w:rsidR="00CB2AEA" w:rsidRPr="00CB2AEA" w:rsidRDefault="00CB2AEA" w:rsidP="00CB2AEA">
            <w:pPr>
              <w:jc w:val="left"/>
              <w:rPr>
                <w:rFonts w:ascii="Calibri" w:hAnsi="Calibri" w:cs="Calibri"/>
                <w:sz w:val="20"/>
              </w:rPr>
            </w:pPr>
            <w:r w:rsidRPr="00CB2AEA">
              <w:rPr>
                <w:rFonts w:ascii="Calibri" w:hAnsi="Calibri" w:cs="Calibri"/>
                <w:sz w:val="20"/>
              </w:rPr>
              <w:t>Faux</w:t>
            </w:r>
            <w:r w:rsidRPr="00CB2AEA">
              <w:rPr>
                <w:rFonts w:ascii="Calibri" w:hAnsi="Calibri" w:cs="Calibri"/>
                <w:sz w:val="20"/>
              </w:rPr>
              <w:t> :</w:t>
            </w:r>
            <w:r w:rsidRPr="00CB2AEA">
              <w:rPr>
                <w:rFonts w:ascii="Calibri" w:hAnsi="Calibri" w:cs="Calibri"/>
                <w:sz w:val="20"/>
              </w:rPr>
              <w:t xml:space="preserve"> distinguer les trois blocs</w:t>
            </w:r>
          </w:p>
        </w:tc>
      </w:tr>
      <w:tr w:rsidR="00CB2AEA" w:rsidRPr="00CB2AEA" w14:paraId="27799CA8" w14:textId="77777777" w:rsidTr="00CB2AEA">
        <w:tc>
          <w:tcPr>
            <w:tcW w:w="0" w:type="auto"/>
            <w:hideMark/>
          </w:tcPr>
          <w:p w14:paraId="607D1F02" w14:textId="77777777" w:rsidR="00CB2AEA" w:rsidRPr="00CB2AEA" w:rsidRDefault="00CB2AEA" w:rsidP="00CB2AEA">
            <w:pPr>
              <w:jc w:val="left"/>
              <w:rPr>
                <w:rFonts w:ascii="Calibri" w:hAnsi="Calibri" w:cs="Calibri"/>
                <w:sz w:val="20"/>
              </w:rPr>
            </w:pPr>
            <w:r w:rsidRPr="00CB2AEA">
              <w:rPr>
                <w:rFonts w:ascii="Calibri" w:hAnsi="Calibri" w:cs="Calibri"/>
                <w:sz w:val="20"/>
              </w:rPr>
              <w:t>Confondre convention collective et accord d’entreprise</w:t>
            </w:r>
          </w:p>
        </w:tc>
        <w:tc>
          <w:tcPr>
            <w:tcW w:w="0" w:type="auto"/>
            <w:hideMark/>
          </w:tcPr>
          <w:p w14:paraId="3B1B758E" w14:textId="77777777" w:rsidR="00CB2AEA" w:rsidRPr="00CB2AEA" w:rsidRDefault="00CB2AEA" w:rsidP="00CB2AEA">
            <w:pPr>
              <w:jc w:val="left"/>
              <w:rPr>
                <w:rFonts w:ascii="Calibri" w:hAnsi="Calibri" w:cs="Calibri"/>
                <w:sz w:val="20"/>
              </w:rPr>
            </w:pPr>
            <w:r w:rsidRPr="00CB2AEA">
              <w:rPr>
                <w:rFonts w:ascii="Calibri" w:hAnsi="Calibri" w:cs="Calibri"/>
                <w:sz w:val="20"/>
              </w:rPr>
              <w:t>Identifier précisément le niveau de négociation</w:t>
            </w:r>
          </w:p>
        </w:tc>
      </w:tr>
      <w:tr w:rsidR="00CB2AEA" w:rsidRPr="00CB2AEA" w14:paraId="2055701E" w14:textId="77777777" w:rsidTr="00CB2AEA">
        <w:tc>
          <w:tcPr>
            <w:tcW w:w="0" w:type="auto"/>
            <w:hideMark/>
          </w:tcPr>
          <w:p w14:paraId="7F7BAB39" w14:textId="77777777" w:rsidR="00CB2AEA" w:rsidRPr="00CB2AEA" w:rsidRDefault="00CB2AEA" w:rsidP="00CB2AEA">
            <w:pPr>
              <w:jc w:val="left"/>
              <w:rPr>
                <w:rFonts w:ascii="Calibri" w:hAnsi="Calibri" w:cs="Calibri"/>
                <w:sz w:val="20"/>
              </w:rPr>
            </w:pPr>
            <w:r w:rsidRPr="00CB2AEA">
              <w:rPr>
                <w:rFonts w:ascii="Calibri" w:hAnsi="Calibri" w:cs="Calibri"/>
                <w:sz w:val="20"/>
              </w:rPr>
              <w:t>Oublier le caractère d’ordre public de certaines dispositions légales</w:t>
            </w:r>
          </w:p>
        </w:tc>
        <w:tc>
          <w:tcPr>
            <w:tcW w:w="0" w:type="auto"/>
            <w:hideMark/>
          </w:tcPr>
          <w:p w14:paraId="4664B3E0" w14:textId="77777777" w:rsidR="00CB2AEA" w:rsidRPr="00CB2AEA" w:rsidRDefault="00CB2AEA" w:rsidP="00CB2AEA">
            <w:pPr>
              <w:jc w:val="left"/>
              <w:rPr>
                <w:rFonts w:ascii="Calibri" w:hAnsi="Calibri" w:cs="Calibri"/>
                <w:sz w:val="20"/>
              </w:rPr>
            </w:pPr>
            <w:r w:rsidRPr="00CB2AEA">
              <w:rPr>
                <w:rFonts w:ascii="Calibri" w:hAnsi="Calibri" w:cs="Calibri"/>
                <w:sz w:val="20"/>
              </w:rPr>
              <w:t>Toujours commencer par vérifier ce que permet la loi</w:t>
            </w:r>
          </w:p>
        </w:tc>
      </w:tr>
      <w:tr w:rsidR="00CB2AEA" w:rsidRPr="00CB2AEA" w14:paraId="140FA900" w14:textId="77777777" w:rsidTr="00CB2AEA">
        <w:tc>
          <w:tcPr>
            <w:tcW w:w="0" w:type="auto"/>
            <w:hideMark/>
          </w:tcPr>
          <w:p w14:paraId="08BAFD47" w14:textId="77777777" w:rsidR="00CB2AEA" w:rsidRPr="00CB2AEA" w:rsidRDefault="00CB2AEA" w:rsidP="00CB2AEA">
            <w:pPr>
              <w:jc w:val="left"/>
              <w:rPr>
                <w:rFonts w:ascii="Calibri" w:hAnsi="Calibri" w:cs="Calibri"/>
                <w:sz w:val="20"/>
              </w:rPr>
            </w:pPr>
            <w:r w:rsidRPr="00CB2AEA">
              <w:rPr>
                <w:rFonts w:ascii="Calibri" w:hAnsi="Calibri" w:cs="Calibri"/>
                <w:sz w:val="20"/>
              </w:rPr>
              <w:lastRenderedPageBreak/>
              <w:t>Confondre usage et engagement unilatéral</w:t>
            </w:r>
          </w:p>
        </w:tc>
        <w:tc>
          <w:tcPr>
            <w:tcW w:w="0" w:type="auto"/>
            <w:hideMark/>
          </w:tcPr>
          <w:p w14:paraId="0893401F" w14:textId="6719A91A" w:rsidR="00CB2AEA" w:rsidRPr="00CB2AEA" w:rsidRDefault="00CB2AEA" w:rsidP="00CB2AEA">
            <w:pPr>
              <w:jc w:val="left"/>
              <w:rPr>
                <w:rFonts w:ascii="Calibri" w:hAnsi="Calibri" w:cs="Calibri"/>
                <w:sz w:val="20"/>
              </w:rPr>
            </w:pPr>
            <w:r w:rsidRPr="00CB2AEA">
              <w:rPr>
                <w:rFonts w:ascii="Calibri" w:hAnsi="Calibri" w:cs="Calibri"/>
                <w:sz w:val="20"/>
              </w:rPr>
              <w:t>Usage = pratique</w:t>
            </w:r>
            <w:r w:rsidRPr="00CB2AEA">
              <w:rPr>
                <w:rFonts w:ascii="Calibri" w:hAnsi="Calibri" w:cs="Calibri"/>
                <w:sz w:val="20"/>
              </w:rPr>
              <w:t> ;</w:t>
            </w:r>
            <w:r w:rsidRPr="00CB2AEA">
              <w:rPr>
                <w:rFonts w:ascii="Calibri" w:hAnsi="Calibri" w:cs="Calibri"/>
                <w:sz w:val="20"/>
              </w:rPr>
              <w:t xml:space="preserve"> engagement unilatéral = décision exprimée</w:t>
            </w:r>
          </w:p>
        </w:tc>
      </w:tr>
      <w:tr w:rsidR="00CB2AEA" w:rsidRPr="00CB2AEA" w14:paraId="7545DB4A" w14:textId="77777777" w:rsidTr="00CB2AEA">
        <w:tc>
          <w:tcPr>
            <w:tcW w:w="0" w:type="auto"/>
            <w:hideMark/>
          </w:tcPr>
          <w:p w14:paraId="37D32045" w14:textId="77777777" w:rsidR="00CB2AEA" w:rsidRPr="00CB2AEA" w:rsidRDefault="00CB2AEA" w:rsidP="00CB2AEA">
            <w:pPr>
              <w:jc w:val="left"/>
              <w:rPr>
                <w:rFonts w:ascii="Calibri" w:hAnsi="Calibri" w:cs="Calibri"/>
                <w:sz w:val="20"/>
              </w:rPr>
            </w:pPr>
            <w:r w:rsidRPr="00CB2AEA">
              <w:rPr>
                <w:rFonts w:ascii="Calibri" w:hAnsi="Calibri" w:cs="Calibri"/>
                <w:sz w:val="20"/>
              </w:rPr>
              <w:t>Confondre révision et dénonciation</w:t>
            </w:r>
          </w:p>
        </w:tc>
        <w:tc>
          <w:tcPr>
            <w:tcW w:w="0" w:type="auto"/>
            <w:hideMark/>
          </w:tcPr>
          <w:p w14:paraId="3989C48B" w14:textId="6E0F1587" w:rsidR="00CB2AEA" w:rsidRPr="00CB2AEA" w:rsidRDefault="00CB2AEA" w:rsidP="00CB2AEA">
            <w:pPr>
              <w:jc w:val="left"/>
              <w:rPr>
                <w:rFonts w:ascii="Calibri" w:hAnsi="Calibri" w:cs="Calibri"/>
                <w:sz w:val="20"/>
              </w:rPr>
            </w:pPr>
            <w:r w:rsidRPr="00CB2AEA">
              <w:rPr>
                <w:rFonts w:ascii="Calibri" w:hAnsi="Calibri" w:cs="Calibri"/>
                <w:sz w:val="20"/>
              </w:rPr>
              <w:t>Révision = modification</w:t>
            </w:r>
            <w:r w:rsidRPr="00CB2AEA">
              <w:rPr>
                <w:rFonts w:ascii="Calibri" w:hAnsi="Calibri" w:cs="Calibri"/>
                <w:sz w:val="20"/>
              </w:rPr>
              <w:t> ;</w:t>
            </w:r>
            <w:r w:rsidRPr="00CB2AEA">
              <w:rPr>
                <w:rFonts w:ascii="Calibri" w:hAnsi="Calibri" w:cs="Calibri"/>
                <w:sz w:val="20"/>
              </w:rPr>
              <w:t xml:space="preserve"> dénonciation = volonté de mettre fin au texte</w:t>
            </w:r>
          </w:p>
        </w:tc>
      </w:tr>
      <w:tr w:rsidR="00CB2AEA" w:rsidRPr="00CB2AEA" w14:paraId="183A6439" w14:textId="77777777" w:rsidTr="00CB2AEA">
        <w:tc>
          <w:tcPr>
            <w:tcW w:w="0" w:type="auto"/>
            <w:hideMark/>
          </w:tcPr>
          <w:p w14:paraId="13FA9B13" w14:textId="77777777" w:rsidR="00CB2AEA" w:rsidRPr="00CB2AEA" w:rsidRDefault="00CB2AEA" w:rsidP="00CB2AEA">
            <w:pPr>
              <w:jc w:val="left"/>
              <w:rPr>
                <w:rFonts w:ascii="Calibri" w:hAnsi="Calibri" w:cs="Calibri"/>
                <w:sz w:val="20"/>
              </w:rPr>
            </w:pPr>
            <w:r w:rsidRPr="00CB2AEA">
              <w:rPr>
                <w:rFonts w:ascii="Calibri" w:hAnsi="Calibri" w:cs="Calibri"/>
                <w:sz w:val="20"/>
              </w:rPr>
              <w:t>Confondre extension et élargissement</w:t>
            </w:r>
          </w:p>
        </w:tc>
        <w:tc>
          <w:tcPr>
            <w:tcW w:w="0" w:type="auto"/>
            <w:hideMark/>
          </w:tcPr>
          <w:p w14:paraId="101BDEAE" w14:textId="181B9E7D" w:rsidR="00CB2AEA" w:rsidRPr="00CB2AEA" w:rsidRDefault="00CB2AEA" w:rsidP="00CB2AEA">
            <w:pPr>
              <w:jc w:val="left"/>
              <w:rPr>
                <w:rFonts w:ascii="Calibri" w:hAnsi="Calibri" w:cs="Calibri"/>
                <w:sz w:val="20"/>
              </w:rPr>
            </w:pPr>
            <w:r w:rsidRPr="00CB2AEA">
              <w:rPr>
                <w:rFonts w:ascii="Calibri" w:hAnsi="Calibri" w:cs="Calibri"/>
                <w:sz w:val="20"/>
              </w:rPr>
              <w:t>Extension = généralisation dans le champ initial</w:t>
            </w:r>
            <w:r w:rsidRPr="00CB2AEA">
              <w:rPr>
                <w:rFonts w:ascii="Calibri" w:hAnsi="Calibri" w:cs="Calibri"/>
                <w:sz w:val="20"/>
              </w:rPr>
              <w:t> ;</w:t>
            </w:r>
            <w:r w:rsidRPr="00CB2AEA">
              <w:rPr>
                <w:rFonts w:ascii="Calibri" w:hAnsi="Calibri" w:cs="Calibri"/>
                <w:sz w:val="20"/>
              </w:rPr>
              <w:t xml:space="preserve"> élargissement = extension à un autre champ</w:t>
            </w:r>
          </w:p>
        </w:tc>
      </w:tr>
      <w:tr w:rsidR="00CB2AEA" w:rsidRPr="00CB2AEA" w14:paraId="549B7420" w14:textId="77777777" w:rsidTr="00CB2AEA">
        <w:tc>
          <w:tcPr>
            <w:tcW w:w="0" w:type="auto"/>
            <w:hideMark/>
          </w:tcPr>
          <w:p w14:paraId="13239C3A" w14:textId="77777777" w:rsidR="00CB2AEA" w:rsidRPr="00CB2AEA" w:rsidRDefault="00CB2AEA" w:rsidP="00CB2AEA">
            <w:pPr>
              <w:jc w:val="left"/>
              <w:rPr>
                <w:rFonts w:ascii="Calibri" w:hAnsi="Calibri" w:cs="Calibri"/>
                <w:sz w:val="20"/>
              </w:rPr>
            </w:pPr>
            <w:r w:rsidRPr="00CB2AEA">
              <w:rPr>
                <w:rFonts w:ascii="Calibri" w:hAnsi="Calibri" w:cs="Calibri"/>
                <w:sz w:val="20"/>
              </w:rPr>
              <w:t>Identifier une convention collective uniquement à partir d’un intitulé ou d’un code administratif</w:t>
            </w:r>
          </w:p>
        </w:tc>
        <w:tc>
          <w:tcPr>
            <w:tcW w:w="0" w:type="auto"/>
            <w:hideMark/>
          </w:tcPr>
          <w:p w14:paraId="582D156A" w14:textId="77777777" w:rsidR="00CB2AEA" w:rsidRPr="00CB2AEA" w:rsidRDefault="00CB2AEA" w:rsidP="00CB2AEA">
            <w:pPr>
              <w:jc w:val="left"/>
              <w:rPr>
                <w:rFonts w:ascii="Calibri" w:hAnsi="Calibri" w:cs="Calibri"/>
                <w:sz w:val="20"/>
              </w:rPr>
            </w:pPr>
            <w:r w:rsidRPr="00CB2AEA">
              <w:rPr>
                <w:rFonts w:ascii="Calibri" w:hAnsi="Calibri" w:cs="Calibri"/>
                <w:sz w:val="20"/>
              </w:rPr>
              <w:t>Rechercher d’abord l’activité principale réellement exercée</w:t>
            </w:r>
          </w:p>
        </w:tc>
      </w:tr>
    </w:tbl>
    <w:p w14:paraId="6AC2C9B0" w14:textId="02558453" w:rsidR="00CB2AEA" w:rsidRPr="00CB2AEA" w:rsidRDefault="00CB2AEA" w:rsidP="00CB2AEA">
      <w:pPr>
        <w:spacing w:after="0" w:line="240" w:lineRule="auto"/>
      </w:pPr>
      <w:r w:rsidRPr="00CB2AEA">
        <w:t xml:space="preserve">Le jury attend précisément un </w:t>
      </w:r>
      <w:r w:rsidRPr="00CB2AEA">
        <w:rPr>
          <w:b/>
          <w:bCs/>
        </w:rPr>
        <w:t>raisonnement juridique structuré</w:t>
      </w:r>
      <w:r w:rsidRPr="00CB2AEA">
        <w:t>, et non une récitation</w:t>
      </w:r>
      <w:r>
        <w:t> :</w:t>
      </w:r>
      <w:r w:rsidRPr="00CB2AEA">
        <w:t xml:space="preserve"> identification de la règle pertinente, application aux faits et conclusion explicite. Il insiste également sur la capacité à utiliser une documentation juridique pour résoudre le cas.</w:t>
      </w:r>
    </w:p>
    <w:p w14:paraId="4DC04B84" w14:textId="77777777" w:rsidR="00CB2AEA" w:rsidRPr="00CB2AEA" w:rsidRDefault="00CB2AEA" w:rsidP="00CB2AEA">
      <w:pPr>
        <w:pStyle w:val="Titre1"/>
      </w:pPr>
      <w:r w:rsidRPr="00CB2AEA">
        <w:t>11. Mots-clés</w:t>
      </w:r>
    </w:p>
    <w:tbl>
      <w:tblPr>
        <w:tblStyle w:val="Grilledutableau"/>
        <w:tblW w:w="0" w:type="auto"/>
        <w:tblLook w:val="04A0" w:firstRow="1" w:lastRow="0" w:firstColumn="1" w:lastColumn="0" w:noHBand="0" w:noVBand="1"/>
      </w:tblPr>
      <w:tblGrid>
        <w:gridCol w:w="1762"/>
        <w:gridCol w:w="8694"/>
      </w:tblGrid>
      <w:tr w:rsidR="00CB2AEA" w:rsidRPr="00CB2AEA" w14:paraId="4EAC2FF5" w14:textId="77777777" w:rsidTr="00CB2AEA">
        <w:trPr>
          <w:tblHeader/>
        </w:trPr>
        <w:tc>
          <w:tcPr>
            <w:tcW w:w="0" w:type="auto"/>
            <w:hideMark/>
          </w:tcPr>
          <w:p w14:paraId="651DD3FA"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Notion</w:t>
            </w:r>
          </w:p>
        </w:tc>
        <w:tc>
          <w:tcPr>
            <w:tcW w:w="0" w:type="auto"/>
            <w:hideMark/>
          </w:tcPr>
          <w:p w14:paraId="445A1388" w14:textId="77777777" w:rsidR="00CB2AEA" w:rsidRPr="00CB2AEA" w:rsidRDefault="00CB2AEA" w:rsidP="00CB2AEA">
            <w:pPr>
              <w:jc w:val="left"/>
              <w:rPr>
                <w:rFonts w:ascii="Calibri" w:hAnsi="Calibri" w:cs="Calibri"/>
                <w:b/>
                <w:bCs/>
                <w:sz w:val="20"/>
              </w:rPr>
            </w:pPr>
            <w:r w:rsidRPr="00CB2AEA">
              <w:rPr>
                <w:rFonts w:ascii="Calibri" w:hAnsi="Calibri" w:cs="Calibri"/>
                <w:b/>
                <w:bCs/>
                <w:sz w:val="20"/>
              </w:rPr>
              <w:t>Définition</w:t>
            </w:r>
          </w:p>
        </w:tc>
      </w:tr>
      <w:tr w:rsidR="00CB2AEA" w:rsidRPr="00CB2AEA" w14:paraId="63C573EF" w14:textId="77777777" w:rsidTr="00CB2AEA">
        <w:tc>
          <w:tcPr>
            <w:tcW w:w="0" w:type="auto"/>
            <w:hideMark/>
          </w:tcPr>
          <w:p w14:paraId="3EB8A4E4" w14:textId="77777777" w:rsidR="00CB2AEA" w:rsidRPr="00CB2AEA" w:rsidRDefault="00CB2AEA" w:rsidP="00CB2AEA">
            <w:pPr>
              <w:jc w:val="left"/>
              <w:rPr>
                <w:rFonts w:ascii="Calibri" w:hAnsi="Calibri" w:cs="Calibri"/>
                <w:sz w:val="20"/>
              </w:rPr>
            </w:pPr>
            <w:r w:rsidRPr="00CB2AEA">
              <w:rPr>
                <w:rFonts w:ascii="Calibri" w:hAnsi="Calibri" w:cs="Calibri"/>
                <w:b/>
                <w:bCs/>
                <w:sz w:val="20"/>
              </w:rPr>
              <w:t>Négociation collective</w:t>
            </w:r>
          </w:p>
        </w:tc>
        <w:tc>
          <w:tcPr>
            <w:tcW w:w="0" w:type="auto"/>
            <w:hideMark/>
          </w:tcPr>
          <w:p w14:paraId="4C9AA554" w14:textId="77777777" w:rsidR="00CB2AEA" w:rsidRPr="00CB2AEA" w:rsidRDefault="00CB2AEA" w:rsidP="00CB2AEA">
            <w:pPr>
              <w:jc w:val="left"/>
              <w:rPr>
                <w:rFonts w:ascii="Calibri" w:hAnsi="Calibri" w:cs="Calibri"/>
                <w:sz w:val="20"/>
              </w:rPr>
            </w:pPr>
            <w:r w:rsidRPr="00CB2AEA">
              <w:rPr>
                <w:rFonts w:ascii="Calibri" w:hAnsi="Calibri" w:cs="Calibri"/>
                <w:sz w:val="20"/>
              </w:rPr>
              <w:t>Discussion entre représentants des employeurs et des salariés destinée à élaborer des normes collectives</w:t>
            </w:r>
          </w:p>
        </w:tc>
      </w:tr>
      <w:tr w:rsidR="00CB2AEA" w:rsidRPr="00CB2AEA" w14:paraId="3105ECAA" w14:textId="77777777" w:rsidTr="00CB2AEA">
        <w:tc>
          <w:tcPr>
            <w:tcW w:w="0" w:type="auto"/>
            <w:hideMark/>
          </w:tcPr>
          <w:p w14:paraId="28FD91A9" w14:textId="77777777" w:rsidR="00CB2AEA" w:rsidRPr="00CB2AEA" w:rsidRDefault="00CB2AEA" w:rsidP="00CB2AEA">
            <w:pPr>
              <w:jc w:val="left"/>
              <w:rPr>
                <w:rFonts w:ascii="Calibri" w:hAnsi="Calibri" w:cs="Calibri"/>
                <w:sz w:val="20"/>
              </w:rPr>
            </w:pPr>
            <w:r w:rsidRPr="00CB2AEA">
              <w:rPr>
                <w:rFonts w:ascii="Calibri" w:hAnsi="Calibri" w:cs="Calibri"/>
                <w:b/>
                <w:bCs/>
                <w:sz w:val="20"/>
              </w:rPr>
              <w:t>ANI</w:t>
            </w:r>
          </w:p>
        </w:tc>
        <w:tc>
          <w:tcPr>
            <w:tcW w:w="0" w:type="auto"/>
            <w:hideMark/>
          </w:tcPr>
          <w:p w14:paraId="22C9C136" w14:textId="77777777" w:rsidR="00CB2AEA" w:rsidRPr="00CB2AEA" w:rsidRDefault="00CB2AEA" w:rsidP="00CB2AEA">
            <w:pPr>
              <w:jc w:val="left"/>
              <w:rPr>
                <w:rFonts w:ascii="Calibri" w:hAnsi="Calibri" w:cs="Calibri"/>
                <w:sz w:val="20"/>
              </w:rPr>
            </w:pPr>
            <w:r w:rsidRPr="00CB2AEA">
              <w:rPr>
                <w:rFonts w:ascii="Calibri" w:hAnsi="Calibri" w:cs="Calibri"/>
                <w:sz w:val="20"/>
              </w:rPr>
              <w:t>Accord national interprofessionnel</w:t>
            </w:r>
          </w:p>
        </w:tc>
      </w:tr>
      <w:tr w:rsidR="00CB2AEA" w:rsidRPr="00CB2AEA" w14:paraId="1D94A071" w14:textId="77777777" w:rsidTr="00CB2AEA">
        <w:tc>
          <w:tcPr>
            <w:tcW w:w="0" w:type="auto"/>
            <w:hideMark/>
          </w:tcPr>
          <w:p w14:paraId="4B550A80" w14:textId="77777777" w:rsidR="00CB2AEA" w:rsidRPr="00CB2AEA" w:rsidRDefault="00CB2AEA" w:rsidP="00CB2AEA">
            <w:pPr>
              <w:jc w:val="left"/>
              <w:rPr>
                <w:rFonts w:ascii="Calibri" w:hAnsi="Calibri" w:cs="Calibri"/>
                <w:sz w:val="20"/>
              </w:rPr>
            </w:pPr>
            <w:r w:rsidRPr="00CB2AEA">
              <w:rPr>
                <w:rFonts w:ascii="Calibri" w:hAnsi="Calibri" w:cs="Calibri"/>
                <w:b/>
                <w:bCs/>
                <w:sz w:val="20"/>
              </w:rPr>
              <w:t>Convention collective</w:t>
            </w:r>
          </w:p>
        </w:tc>
        <w:tc>
          <w:tcPr>
            <w:tcW w:w="0" w:type="auto"/>
            <w:hideMark/>
          </w:tcPr>
          <w:p w14:paraId="1880BB0D" w14:textId="77777777" w:rsidR="00CB2AEA" w:rsidRPr="00CB2AEA" w:rsidRDefault="00CB2AEA" w:rsidP="00CB2AEA">
            <w:pPr>
              <w:jc w:val="left"/>
              <w:rPr>
                <w:rFonts w:ascii="Calibri" w:hAnsi="Calibri" w:cs="Calibri"/>
                <w:sz w:val="20"/>
              </w:rPr>
            </w:pPr>
            <w:r w:rsidRPr="00CB2AEA">
              <w:rPr>
                <w:rFonts w:ascii="Calibri" w:hAnsi="Calibri" w:cs="Calibri"/>
                <w:sz w:val="20"/>
              </w:rPr>
              <w:t>Texte négocié organisant largement les conditions de travail et garanties sociales dans un champ donné</w:t>
            </w:r>
          </w:p>
        </w:tc>
      </w:tr>
      <w:tr w:rsidR="00CB2AEA" w:rsidRPr="00CB2AEA" w14:paraId="4A63FC03" w14:textId="77777777" w:rsidTr="00CB2AEA">
        <w:tc>
          <w:tcPr>
            <w:tcW w:w="0" w:type="auto"/>
            <w:hideMark/>
          </w:tcPr>
          <w:p w14:paraId="69DBC3CC" w14:textId="77777777" w:rsidR="00CB2AEA" w:rsidRPr="00CB2AEA" w:rsidRDefault="00CB2AEA" w:rsidP="00CB2AEA">
            <w:pPr>
              <w:jc w:val="left"/>
              <w:rPr>
                <w:rFonts w:ascii="Calibri" w:hAnsi="Calibri" w:cs="Calibri"/>
                <w:sz w:val="20"/>
              </w:rPr>
            </w:pPr>
            <w:r w:rsidRPr="00CB2AEA">
              <w:rPr>
                <w:rFonts w:ascii="Calibri" w:hAnsi="Calibri" w:cs="Calibri"/>
                <w:b/>
                <w:bCs/>
                <w:sz w:val="20"/>
              </w:rPr>
              <w:t>Accord collectif</w:t>
            </w:r>
          </w:p>
        </w:tc>
        <w:tc>
          <w:tcPr>
            <w:tcW w:w="0" w:type="auto"/>
            <w:hideMark/>
          </w:tcPr>
          <w:p w14:paraId="2EF36485" w14:textId="77777777" w:rsidR="00CB2AEA" w:rsidRPr="00CB2AEA" w:rsidRDefault="00CB2AEA" w:rsidP="00CB2AEA">
            <w:pPr>
              <w:jc w:val="left"/>
              <w:rPr>
                <w:rFonts w:ascii="Calibri" w:hAnsi="Calibri" w:cs="Calibri"/>
                <w:sz w:val="20"/>
              </w:rPr>
            </w:pPr>
            <w:r w:rsidRPr="00CB2AEA">
              <w:rPr>
                <w:rFonts w:ascii="Calibri" w:hAnsi="Calibri" w:cs="Calibri"/>
                <w:sz w:val="20"/>
              </w:rPr>
              <w:t>Texte négocié portant généralement sur une ou plusieurs matières déterminées</w:t>
            </w:r>
          </w:p>
        </w:tc>
      </w:tr>
      <w:tr w:rsidR="00CB2AEA" w:rsidRPr="00CB2AEA" w14:paraId="0E36A166" w14:textId="77777777" w:rsidTr="00CB2AEA">
        <w:tc>
          <w:tcPr>
            <w:tcW w:w="0" w:type="auto"/>
            <w:hideMark/>
          </w:tcPr>
          <w:p w14:paraId="78C7D3AE" w14:textId="77777777" w:rsidR="00CB2AEA" w:rsidRPr="00CB2AEA" w:rsidRDefault="00CB2AEA" w:rsidP="00CB2AEA">
            <w:pPr>
              <w:jc w:val="left"/>
              <w:rPr>
                <w:rFonts w:ascii="Calibri" w:hAnsi="Calibri" w:cs="Calibri"/>
                <w:sz w:val="20"/>
              </w:rPr>
            </w:pPr>
            <w:r w:rsidRPr="00CB2AEA">
              <w:rPr>
                <w:rFonts w:ascii="Calibri" w:hAnsi="Calibri" w:cs="Calibri"/>
                <w:b/>
                <w:bCs/>
                <w:sz w:val="20"/>
              </w:rPr>
              <w:t>Accord d’entreprise</w:t>
            </w:r>
          </w:p>
        </w:tc>
        <w:tc>
          <w:tcPr>
            <w:tcW w:w="0" w:type="auto"/>
            <w:hideMark/>
          </w:tcPr>
          <w:p w14:paraId="2510BD30" w14:textId="77777777" w:rsidR="00CB2AEA" w:rsidRPr="00CB2AEA" w:rsidRDefault="00CB2AEA" w:rsidP="00CB2AEA">
            <w:pPr>
              <w:jc w:val="left"/>
              <w:rPr>
                <w:rFonts w:ascii="Calibri" w:hAnsi="Calibri" w:cs="Calibri"/>
                <w:sz w:val="20"/>
              </w:rPr>
            </w:pPr>
            <w:r w:rsidRPr="00CB2AEA">
              <w:rPr>
                <w:rFonts w:ascii="Calibri" w:hAnsi="Calibri" w:cs="Calibri"/>
                <w:sz w:val="20"/>
              </w:rPr>
              <w:t>Accord collectif conclu au niveau d’une entreprise</w:t>
            </w:r>
          </w:p>
        </w:tc>
      </w:tr>
      <w:tr w:rsidR="00CB2AEA" w:rsidRPr="00CB2AEA" w14:paraId="057C45E5" w14:textId="77777777" w:rsidTr="00CB2AEA">
        <w:tc>
          <w:tcPr>
            <w:tcW w:w="0" w:type="auto"/>
            <w:hideMark/>
          </w:tcPr>
          <w:p w14:paraId="60DA7A0E" w14:textId="77777777" w:rsidR="00CB2AEA" w:rsidRPr="00CB2AEA" w:rsidRDefault="00CB2AEA" w:rsidP="00CB2AEA">
            <w:pPr>
              <w:jc w:val="left"/>
              <w:rPr>
                <w:rFonts w:ascii="Calibri" w:hAnsi="Calibri" w:cs="Calibri"/>
                <w:sz w:val="20"/>
              </w:rPr>
            </w:pPr>
            <w:r w:rsidRPr="00CB2AEA">
              <w:rPr>
                <w:rFonts w:ascii="Calibri" w:hAnsi="Calibri" w:cs="Calibri"/>
                <w:b/>
                <w:bCs/>
                <w:sz w:val="20"/>
              </w:rPr>
              <w:t>Extension</w:t>
            </w:r>
          </w:p>
        </w:tc>
        <w:tc>
          <w:tcPr>
            <w:tcW w:w="0" w:type="auto"/>
            <w:hideMark/>
          </w:tcPr>
          <w:p w14:paraId="3889472C" w14:textId="77777777" w:rsidR="00CB2AEA" w:rsidRPr="00CB2AEA" w:rsidRDefault="00CB2AEA" w:rsidP="00CB2AEA">
            <w:pPr>
              <w:jc w:val="left"/>
              <w:rPr>
                <w:rFonts w:ascii="Calibri" w:hAnsi="Calibri" w:cs="Calibri"/>
                <w:sz w:val="20"/>
              </w:rPr>
            </w:pPr>
            <w:r w:rsidRPr="00CB2AEA">
              <w:rPr>
                <w:rFonts w:ascii="Calibri" w:hAnsi="Calibri" w:cs="Calibri"/>
                <w:sz w:val="20"/>
              </w:rPr>
              <w:t>Procédure rendant un texte conventionnel obligatoire dans l’ensemble de son champ</w:t>
            </w:r>
          </w:p>
        </w:tc>
      </w:tr>
      <w:tr w:rsidR="00CB2AEA" w:rsidRPr="00CB2AEA" w14:paraId="161A2C42" w14:textId="77777777" w:rsidTr="00CB2AEA">
        <w:tc>
          <w:tcPr>
            <w:tcW w:w="0" w:type="auto"/>
            <w:hideMark/>
          </w:tcPr>
          <w:p w14:paraId="0B920CAE" w14:textId="77777777" w:rsidR="00CB2AEA" w:rsidRPr="00CB2AEA" w:rsidRDefault="00CB2AEA" w:rsidP="00CB2AEA">
            <w:pPr>
              <w:jc w:val="left"/>
              <w:rPr>
                <w:rFonts w:ascii="Calibri" w:hAnsi="Calibri" w:cs="Calibri"/>
                <w:sz w:val="20"/>
              </w:rPr>
            </w:pPr>
            <w:r w:rsidRPr="00CB2AEA">
              <w:rPr>
                <w:rFonts w:ascii="Calibri" w:hAnsi="Calibri" w:cs="Calibri"/>
                <w:b/>
                <w:bCs/>
                <w:sz w:val="20"/>
              </w:rPr>
              <w:t>Élargissement</w:t>
            </w:r>
          </w:p>
        </w:tc>
        <w:tc>
          <w:tcPr>
            <w:tcW w:w="0" w:type="auto"/>
            <w:hideMark/>
          </w:tcPr>
          <w:p w14:paraId="7CFD224F" w14:textId="77777777" w:rsidR="00CB2AEA" w:rsidRPr="00CB2AEA" w:rsidRDefault="00CB2AEA" w:rsidP="00CB2AEA">
            <w:pPr>
              <w:jc w:val="left"/>
              <w:rPr>
                <w:rFonts w:ascii="Calibri" w:hAnsi="Calibri" w:cs="Calibri"/>
                <w:sz w:val="20"/>
              </w:rPr>
            </w:pPr>
            <w:r w:rsidRPr="00CB2AEA">
              <w:rPr>
                <w:rFonts w:ascii="Calibri" w:hAnsi="Calibri" w:cs="Calibri"/>
                <w:sz w:val="20"/>
              </w:rPr>
              <w:t>Procédure étendant un texte à un autre champ professionnel ou territorial</w:t>
            </w:r>
          </w:p>
        </w:tc>
      </w:tr>
      <w:tr w:rsidR="00CB2AEA" w:rsidRPr="00CB2AEA" w14:paraId="7F14A56D" w14:textId="77777777" w:rsidTr="00CB2AEA">
        <w:tc>
          <w:tcPr>
            <w:tcW w:w="0" w:type="auto"/>
            <w:hideMark/>
          </w:tcPr>
          <w:p w14:paraId="0520A7B0" w14:textId="77777777" w:rsidR="00CB2AEA" w:rsidRPr="00CB2AEA" w:rsidRDefault="00CB2AEA" w:rsidP="00CB2AEA">
            <w:pPr>
              <w:jc w:val="left"/>
              <w:rPr>
                <w:rFonts w:ascii="Calibri" w:hAnsi="Calibri" w:cs="Calibri"/>
                <w:sz w:val="20"/>
              </w:rPr>
            </w:pPr>
            <w:r w:rsidRPr="00CB2AEA">
              <w:rPr>
                <w:rFonts w:ascii="Calibri" w:hAnsi="Calibri" w:cs="Calibri"/>
                <w:b/>
                <w:bCs/>
                <w:sz w:val="20"/>
              </w:rPr>
              <w:t>Révision</w:t>
            </w:r>
          </w:p>
        </w:tc>
        <w:tc>
          <w:tcPr>
            <w:tcW w:w="0" w:type="auto"/>
            <w:hideMark/>
          </w:tcPr>
          <w:p w14:paraId="50CDB7E5" w14:textId="77777777" w:rsidR="00CB2AEA" w:rsidRPr="00CB2AEA" w:rsidRDefault="00CB2AEA" w:rsidP="00CB2AEA">
            <w:pPr>
              <w:jc w:val="left"/>
              <w:rPr>
                <w:rFonts w:ascii="Calibri" w:hAnsi="Calibri" w:cs="Calibri"/>
                <w:sz w:val="20"/>
              </w:rPr>
            </w:pPr>
            <w:r w:rsidRPr="00CB2AEA">
              <w:rPr>
                <w:rFonts w:ascii="Calibri" w:hAnsi="Calibri" w:cs="Calibri"/>
                <w:sz w:val="20"/>
              </w:rPr>
              <w:t>Modification d’une convention ou d’un accord par avenant</w:t>
            </w:r>
          </w:p>
        </w:tc>
      </w:tr>
      <w:tr w:rsidR="00CB2AEA" w:rsidRPr="00CB2AEA" w14:paraId="1185F7E1" w14:textId="77777777" w:rsidTr="00CB2AEA">
        <w:tc>
          <w:tcPr>
            <w:tcW w:w="0" w:type="auto"/>
            <w:hideMark/>
          </w:tcPr>
          <w:p w14:paraId="561B539D" w14:textId="77777777" w:rsidR="00CB2AEA" w:rsidRPr="00CB2AEA" w:rsidRDefault="00CB2AEA" w:rsidP="00CB2AEA">
            <w:pPr>
              <w:jc w:val="left"/>
              <w:rPr>
                <w:rFonts w:ascii="Calibri" w:hAnsi="Calibri" w:cs="Calibri"/>
                <w:sz w:val="20"/>
              </w:rPr>
            </w:pPr>
            <w:r w:rsidRPr="00CB2AEA">
              <w:rPr>
                <w:rFonts w:ascii="Calibri" w:hAnsi="Calibri" w:cs="Calibri"/>
                <w:b/>
                <w:bCs/>
                <w:sz w:val="20"/>
              </w:rPr>
              <w:t>Dénonciation</w:t>
            </w:r>
          </w:p>
        </w:tc>
        <w:tc>
          <w:tcPr>
            <w:tcW w:w="0" w:type="auto"/>
            <w:hideMark/>
          </w:tcPr>
          <w:p w14:paraId="7163822D" w14:textId="77777777" w:rsidR="00CB2AEA" w:rsidRPr="00CB2AEA" w:rsidRDefault="00CB2AEA" w:rsidP="00CB2AEA">
            <w:pPr>
              <w:jc w:val="left"/>
              <w:rPr>
                <w:rFonts w:ascii="Calibri" w:hAnsi="Calibri" w:cs="Calibri"/>
                <w:sz w:val="20"/>
              </w:rPr>
            </w:pPr>
            <w:r w:rsidRPr="00CB2AEA">
              <w:rPr>
                <w:rFonts w:ascii="Calibri" w:hAnsi="Calibri" w:cs="Calibri"/>
                <w:sz w:val="20"/>
              </w:rPr>
              <w:t>Procédure permettant de mettre fin à un accord à durée indéterminée</w:t>
            </w:r>
          </w:p>
        </w:tc>
      </w:tr>
      <w:tr w:rsidR="00CB2AEA" w:rsidRPr="00CB2AEA" w14:paraId="0F0E4050" w14:textId="77777777" w:rsidTr="00CB2AEA">
        <w:tc>
          <w:tcPr>
            <w:tcW w:w="0" w:type="auto"/>
            <w:hideMark/>
          </w:tcPr>
          <w:p w14:paraId="5B832C35" w14:textId="77777777" w:rsidR="00CB2AEA" w:rsidRPr="00CB2AEA" w:rsidRDefault="00CB2AEA" w:rsidP="00CB2AEA">
            <w:pPr>
              <w:jc w:val="left"/>
              <w:rPr>
                <w:rFonts w:ascii="Calibri" w:hAnsi="Calibri" w:cs="Calibri"/>
                <w:sz w:val="20"/>
              </w:rPr>
            </w:pPr>
            <w:r w:rsidRPr="00CB2AEA">
              <w:rPr>
                <w:rFonts w:ascii="Calibri" w:hAnsi="Calibri" w:cs="Calibri"/>
                <w:b/>
                <w:bCs/>
                <w:sz w:val="20"/>
              </w:rPr>
              <w:t>Usage</w:t>
            </w:r>
          </w:p>
        </w:tc>
        <w:tc>
          <w:tcPr>
            <w:tcW w:w="0" w:type="auto"/>
            <w:hideMark/>
          </w:tcPr>
          <w:p w14:paraId="5243D34E" w14:textId="77777777" w:rsidR="00CB2AEA" w:rsidRPr="00CB2AEA" w:rsidRDefault="00CB2AEA" w:rsidP="00CB2AEA">
            <w:pPr>
              <w:jc w:val="left"/>
              <w:rPr>
                <w:rFonts w:ascii="Calibri" w:hAnsi="Calibri" w:cs="Calibri"/>
                <w:sz w:val="20"/>
              </w:rPr>
            </w:pPr>
            <w:r w:rsidRPr="00CB2AEA">
              <w:rPr>
                <w:rFonts w:ascii="Calibri" w:hAnsi="Calibri" w:cs="Calibri"/>
                <w:sz w:val="20"/>
              </w:rPr>
              <w:t>Pratique générale, constante et fixe créant une obligation pour l’employeur</w:t>
            </w:r>
          </w:p>
        </w:tc>
      </w:tr>
      <w:tr w:rsidR="00CB2AEA" w:rsidRPr="00CB2AEA" w14:paraId="762DA26F" w14:textId="77777777" w:rsidTr="00CB2AEA">
        <w:tc>
          <w:tcPr>
            <w:tcW w:w="0" w:type="auto"/>
            <w:hideMark/>
          </w:tcPr>
          <w:p w14:paraId="30C602E6" w14:textId="77777777" w:rsidR="00CB2AEA" w:rsidRPr="00CB2AEA" w:rsidRDefault="00CB2AEA" w:rsidP="00CB2AEA">
            <w:pPr>
              <w:jc w:val="left"/>
              <w:rPr>
                <w:rFonts w:ascii="Calibri" w:hAnsi="Calibri" w:cs="Calibri"/>
                <w:sz w:val="20"/>
              </w:rPr>
            </w:pPr>
            <w:r w:rsidRPr="00CB2AEA">
              <w:rPr>
                <w:rFonts w:ascii="Calibri" w:hAnsi="Calibri" w:cs="Calibri"/>
                <w:b/>
                <w:bCs/>
                <w:sz w:val="20"/>
              </w:rPr>
              <w:t>Engagement unilatéral</w:t>
            </w:r>
          </w:p>
        </w:tc>
        <w:tc>
          <w:tcPr>
            <w:tcW w:w="0" w:type="auto"/>
            <w:hideMark/>
          </w:tcPr>
          <w:p w14:paraId="3769F01F" w14:textId="77777777" w:rsidR="00CB2AEA" w:rsidRPr="00CB2AEA" w:rsidRDefault="00CB2AEA" w:rsidP="00CB2AEA">
            <w:pPr>
              <w:jc w:val="left"/>
              <w:rPr>
                <w:rFonts w:ascii="Calibri" w:hAnsi="Calibri" w:cs="Calibri"/>
                <w:sz w:val="20"/>
              </w:rPr>
            </w:pPr>
            <w:r w:rsidRPr="00CB2AEA">
              <w:rPr>
                <w:rFonts w:ascii="Calibri" w:hAnsi="Calibri" w:cs="Calibri"/>
                <w:sz w:val="20"/>
              </w:rPr>
              <w:t>Décision de l’employeur créant volontairement une obligation à sa charge</w:t>
            </w:r>
          </w:p>
        </w:tc>
      </w:tr>
      <w:tr w:rsidR="00CB2AEA" w:rsidRPr="00CB2AEA" w14:paraId="32EDE4B6" w14:textId="77777777" w:rsidTr="00CB2AEA">
        <w:tc>
          <w:tcPr>
            <w:tcW w:w="0" w:type="auto"/>
            <w:hideMark/>
          </w:tcPr>
          <w:p w14:paraId="4FBD7FF9" w14:textId="77777777" w:rsidR="00CB2AEA" w:rsidRPr="00CB2AEA" w:rsidRDefault="00CB2AEA" w:rsidP="00CB2AEA">
            <w:pPr>
              <w:jc w:val="left"/>
              <w:rPr>
                <w:rFonts w:ascii="Calibri" w:hAnsi="Calibri" w:cs="Calibri"/>
                <w:sz w:val="20"/>
              </w:rPr>
            </w:pPr>
            <w:r w:rsidRPr="00CB2AEA">
              <w:rPr>
                <w:rFonts w:ascii="Calibri" w:hAnsi="Calibri" w:cs="Calibri"/>
                <w:b/>
                <w:bCs/>
                <w:sz w:val="20"/>
              </w:rPr>
              <w:t>Ordre public</w:t>
            </w:r>
          </w:p>
        </w:tc>
        <w:tc>
          <w:tcPr>
            <w:tcW w:w="0" w:type="auto"/>
            <w:hideMark/>
          </w:tcPr>
          <w:p w14:paraId="33E352D8" w14:textId="77777777" w:rsidR="00CB2AEA" w:rsidRPr="00CB2AEA" w:rsidRDefault="00CB2AEA" w:rsidP="00CB2AEA">
            <w:pPr>
              <w:jc w:val="left"/>
              <w:rPr>
                <w:rFonts w:ascii="Calibri" w:hAnsi="Calibri" w:cs="Calibri"/>
                <w:sz w:val="20"/>
              </w:rPr>
            </w:pPr>
            <w:r w:rsidRPr="00CB2AEA">
              <w:rPr>
                <w:rFonts w:ascii="Calibri" w:hAnsi="Calibri" w:cs="Calibri"/>
                <w:sz w:val="20"/>
              </w:rPr>
              <w:t>Règles auxquelles il est interdit de déroger</w:t>
            </w:r>
          </w:p>
        </w:tc>
      </w:tr>
      <w:tr w:rsidR="00CB2AEA" w:rsidRPr="00CB2AEA" w14:paraId="4AFE3F33" w14:textId="77777777" w:rsidTr="00CB2AEA">
        <w:tc>
          <w:tcPr>
            <w:tcW w:w="0" w:type="auto"/>
            <w:hideMark/>
          </w:tcPr>
          <w:p w14:paraId="6B6BF574" w14:textId="77777777" w:rsidR="00CB2AEA" w:rsidRPr="00CB2AEA" w:rsidRDefault="00CB2AEA" w:rsidP="00CB2AEA">
            <w:pPr>
              <w:jc w:val="left"/>
              <w:rPr>
                <w:rFonts w:ascii="Calibri" w:hAnsi="Calibri" w:cs="Calibri"/>
                <w:sz w:val="20"/>
              </w:rPr>
            </w:pPr>
            <w:r w:rsidRPr="00CB2AEA">
              <w:rPr>
                <w:rFonts w:ascii="Calibri" w:hAnsi="Calibri" w:cs="Calibri"/>
                <w:b/>
                <w:bCs/>
                <w:sz w:val="20"/>
              </w:rPr>
              <w:t>Principe de faveur</w:t>
            </w:r>
          </w:p>
        </w:tc>
        <w:tc>
          <w:tcPr>
            <w:tcW w:w="0" w:type="auto"/>
            <w:hideMark/>
          </w:tcPr>
          <w:p w14:paraId="27B44D17" w14:textId="52C73FB2" w:rsidR="00CB2AEA" w:rsidRPr="00CB2AEA" w:rsidRDefault="00CB2AEA" w:rsidP="00CB2AEA">
            <w:pPr>
              <w:jc w:val="left"/>
              <w:rPr>
                <w:rFonts w:ascii="Calibri" w:hAnsi="Calibri" w:cs="Calibri"/>
                <w:sz w:val="20"/>
              </w:rPr>
            </w:pPr>
            <w:r w:rsidRPr="00CB2AEA">
              <w:rPr>
                <w:rFonts w:ascii="Calibri" w:hAnsi="Calibri" w:cs="Calibri"/>
                <w:sz w:val="20"/>
              </w:rPr>
              <w:t>Principe permettant dans certaines situations l’application d’une règle plus favorable au salarié</w:t>
            </w:r>
            <w:r w:rsidRPr="00CB2AEA">
              <w:rPr>
                <w:rFonts w:ascii="Calibri" w:hAnsi="Calibri" w:cs="Calibri"/>
                <w:sz w:val="20"/>
              </w:rPr>
              <w:t> ;</w:t>
            </w:r>
            <w:r w:rsidRPr="00CB2AEA">
              <w:rPr>
                <w:rFonts w:ascii="Calibri" w:hAnsi="Calibri" w:cs="Calibri"/>
                <w:sz w:val="20"/>
              </w:rPr>
              <w:t xml:space="preserve"> il doit être combiné avec les règles légales d’articulation des normes</w:t>
            </w:r>
          </w:p>
        </w:tc>
      </w:tr>
      <w:tr w:rsidR="00CB2AEA" w:rsidRPr="00CB2AEA" w14:paraId="4B90955B" w14:textId="77777777" w:rsidTr="00CB2AEA">
        <w:tc>
          <w:tcPr>
            <w:tcW w:w="0" w:type="auto"/>
            <w:hideMark/>
          </w:tcPr>
          <w:p w14:paraId="16CB6B2F" w14:textId="77777777" w:rsidR="00CB2AEA" w:rsidRPr="00CB2AEA" w:rsidRDefault="00CB2AEA" w:rsidP="00CB2AEA">
            <w:pPr>
              <w:jc w:val="left"/>
              <w:rPr>
                <w:rFonts w:ascii="Calibri" w:hAnsi="Calibri" w:cs="Calibri"/>
                <w:sz w:val="20"/>
              </w:rPr>
            </w:pPr>
            <w:r w:rsidRPr="00CB2AEA">
              <w:rPr>
                <w:rFonts w:ascii="Calibri" w:hAnsi="Calibri" w:cs="Calibri"/>
                <w:b/>
                <w:bCs/>
                <w:sz w:val="20"/>
              </w:rPr>
              <w:t>Garantie équivalente</w:t>
            </w:r>
          </w:p>
        </w:tc>
        <w:tc>
          <w:tcPr>
            <w:tcW w:w="0" w:type="auto"/>
            <w:hideMark/>
          </w:tcPr>
          <w:p w14:paraId="14DBB3E2" w14:textId="77777777" w:rsidR="00CB2AEA" w:rsidRPr="00CB2AEA" w:rsidRDefault="00CB2AEA" w:rsidP="00CB2AEA">
            <w:pPr>
              <w:jc w:val="left"/>
              <w:rPr>
                <w:rFonts w:ascii="Calibri" w:hAnsi="Calibri" w:cs="Calibri"/>
                <w:sz w:val="20"/>
              </w:rPr>
            </w:pPr>
            <w:r w:rsidRPr="00CB2AEA">
              <w:rPr>
                <w:rFonts w:ascii="Calibri" w:hAnsi="Calibri" w:cs="Calibri"/>
                <w:sz w:val="20"/>
              </w:rPr>
              <w:t>Mécanisme permettant, dans les blocs 1 ou 2, à l’accord d’entreprise de s’écarter de la branche s’il assure un ensemble de garanties au moins équivalent dans la même matière</w:t>
            </w:r>
          </w:p>
        </w:tc>
      </w:tr>
    </w:tbl>
    <w:p w14:paraId="5D534D39" w14:textId="2150B5D4" w:rsidR="00CB2AEA" w:rsidRDefault="00CB2AEA" w:rsidP="00CB2AEA">
      <w:pPr>
        <w:spacing w:after="0" w:line="240" w:lineRule="auto"/>
      </w:pPr>
      <w:r w:rsidRPr="00CB2AEA">
        <w:rPr>
          <w:b/>
          <w:bCs/>
        </w:rPr>
        <w:t>Références principales</w:t>
      </w:r>
      <w:r>
        <w:rPr>
          <w:b/>
          <w:bCs/>
        </w:rPr>
        <w:t> :</w:t>
      </w:r>
      <w:r w:rsidRPr="00CB2AEA">
        <w:t xml:space="preserve"> Code du travail, notamment art. L. 2222-4, L. 2232-2, L. 2232-6, L. 2232-12, L. 2251-1, L. 2253-1 à L. 2253-3, L. 2254-1 et L. 2261-2 à L. 2261-31. État du droit vérifié au </w:t>
      </w:r>
      <w:r w:rsidRPr="00CB2AEA">
        <w:rPr>
          <w:b/>
          <w:bCs/>
        </w:rPr>
        <w:t>12 août 2026</w:t>
      </w:r>
      <w:r w:rsidRPr="00CB2AEA">
        <w:t>. (</w:t>
      </w:r>
      <w:hyperlink r:id="rId31" w:tooltip="Détermination de la convention collective applicable. ..." w:history="1">
        <w:r w:rsidRPr="00CB2AEA">
          <w:rPr>
            <w:rStyle w:val="Lienhypertexte"/>
          </w:rPr>
          <w:t>Légifrance</w:t>
        </w:r>
      </w:hyperlink>
      <w:r w:rsidRPr="00CB2AEA">
        <w:t>)</w:t>
      </w:r>
    </w:p>
    <w:p w14:paraId="11AA608A" w14:textId="426950F3" w:rsidR="00254133" w:rsidRPr="006D4D3A" w:rsidRDefault="00254133" w:rsidP="00CB2AEA">
      <w:pPr>
        <w:spacing w:after="0" w:line="240" w:lineRule="auto"/>
      </w:pPr>
    </w:p>
    <w:sectPr w:rsidR="00254133" w:rsidRPr="006D4D3A" w:rsidSect="00CB2AEA">
      <w:footerReference w:type="default" r:id="rId3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A89A0" w14:textId="77777777" w:rsidR="001F7877" w:rsidRDefault="001F7877" w:rsidP="00B870C7">
      <w:r>
        <w:separator/>
      </w:r>
    </w:p>
  </w:endnote>
  <w:endnote w:type="continuationSeparator" w:id="0">
    <w:p w14:paraId="474151B0" w14:textId="77777777" w:rsidR="001F7877" w:rsidRDefault="001F7877"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F8B78" w14:textId="77777777" w:rsidR="001F7877" w:rsidRDefault="001F7877" w:rsidP="00B870C7">
      <w:r>
        <w:separator/>
      </w:r>
    </w:p>
  </w:footnote>
  <w:footnote w:type="continuationSeparator" w:id="0">
    <w:p w14:paraId="4CD8597A" w14:textId="77777777" w:rsidR="001F7877" w:rsidRDefault="001F7877"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09D"/>
    <w:multiLevelType w:val="multilevel"/>
    <w:tmpl w:val="FA8C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97609"/>
    <w:multiLevelType w:val="multilevel"/>
    <w:tmpl w:val="1B7A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6702"/>
    <w:multiLevelType w:val="multilevel"/>
    <w:tmpl w:val="EBD4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C50A4"/>
    <w:multiLevelType w:val="multilevel"/>
    <w:tmpl w:val="F90A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C422F"/>
    <w:multiLevelType w:val="multilevel"/>
    <w:tmpl w:val="7542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66F91"/>
    <w:multiLevelType w:val="multilevel"/>
    <w:tmpl w:val="B7D8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054C2E"/>
    <w:multiLevelType w:val="multilevel"/>
    <w:tmpl w:val="A4CE2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EE023C"/>
    <w:multiLevelType w:val="multilevel"/>
    <w:tmpl w:val="B65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2951">
    <w:abstractNumId w:val="3"/>
  </w:num>
  <w:num w:numId="2" w16cid:durableId="845024732">
    <w:abstractNumId w:val="5"/>
  </w:num>
  <w:num w:numId="3" w16cid:durableId="285965831">
    <w:abstractNumId w:val="0"/>
  </w:num>
  <w:num w:numId="4" w16cid:durableId="402069814">
    <w:abstractNumId w:val="1"/>
  </w:num>
  <w:num w:numId="5" w16cid:durableId="844397514">
    <w:abstractNumId w:val="6"/>
  </w:num>
  <w:num w:numId="6" w16cid:durableId="1208686305">
    <w:abstractNumId w:val="2"/>
  </w:num>
  <w:num w:numId="7" w16cid:durableId="1596012148">
    <w:abstractNumId w:val="7"/>
  </w:num>
  <w:num w:numId="8" w16cid:durableId="128184028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C6ABD"/>
    <w:rsid w:val="000D6577"/>
    <w:rsid w:val="000E1BE8"/>
    <w:rsid w:val="000F1177"/>
    <w:rsid w:val="000F3FDC"/>
    <w:rsid w:val="00124AF9"/>
    <w:rsid w:val="0013594E"/>
    <w:rsid w:val="00135CDD"/>
    <w:rsid w:val="00165962"/>
    <w:rsid w:val="001666DB"/>
    <w:rsid w:val="001B03F3"/>
    <w:rsid w:val="001B38AB"/>
    <w:rsid w:val="001C2E5A"/>
    <w:rsid w:val="001C77F9"/>
    <w:rsid w:val="001F5435"/>
    <w:rsid w:val="001F64D4"/>
    <w:rsid w:val="001F7877"/>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37AD"/>
    <w:rsid w:val="00355840"/>
    <w:rsid w:val="00375473"/>
    <w:rsid w:val="003B117F"/>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B2AEA"/>
    <w:rsid w:val="00CC4DE7"/>
    <w:rsid w:val="00CD4FB1"/>
    <w:rsid w:val="00CE3CB4"/>
    <w:rsid w:val="00D00629"/>
    <w:rsid w:val="00D0725D"/>
    <w:rsid w:val="00D431EB"/>
    <w:rsid w:val="00D503E9"/>
    <w:rsid w:val="00D53BAD"/>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section_lc/LEGITEXT000006072050/LEGISCTA000006189536/2026-02-13/?utm_source=chatgpt.com" TargetMode="External"/><Relationship Id="rId18" Type="http://schemas.openxmlformats.org/officeDocument/2006/relationships/hyperlink" Target="https://www.legifrance.gouv.fr/codes/id/LEGISCTA000006160736?utm_source=chatgpt.com" TargetMode="External"/><Relationship Id="rId26" Type="http://schemas.openxmlformats.org/officeDocument/2006/relationships/hyperlink" Target="https://www.legifrance.gouv.fr/juri/id/JURITEXT000028828672?utm_source=chatgpt.com" TargetMode="External"/><Relationship Id="rId3" Type="http://schemas.openxmlformats.org/officeDocument/2006/relationships/settings" Target="settings.xml"/><Relationship Id="rId21" Type="http://schemas.openxmlformats.org/officeDocument/2006/relationships/hyperlink" Target="https://www.legifrance.gouv.fr/codes/article_lc/LEGIARTI000006901772?utm_source=chatgpt.com" TargetMode="External"/><Relationship Id="rId34" Type="http://schemas.openxmlformats.org/officeDocument/2006/relationships/theme" Target="theme/theme1.xml"/><Relationship Id="rId7" Type="http://schemas.openxmlformats.org/officeDocument/2006/relationships/hyperlink" Target="https://www.legifrance.gouv.fr/codes/article_lc/LEGIARTI000006901772?utm_source=chatgpt.com" TargetMode="External"/><Relationship Id="rId12" Type="http://schemas.openxmlformats.org/officeDocument/2006/relationships/hyperlink" Target="https://www.legifrance.gouv.fr/codes/article_lc/LEGIARTI000006901780?utm_source=chatgpt.com" TargetMode="External"/><Relationship Id="rId17" Type="http://schemas.openxmlformats.org/officeDocument/2006/relationships/hyperlink" Target="https://www.legifrance.gouv.fr/codes/id/LEGISCTA000006145398?utm_source=chatgpt.com" TargetMode="External"/><Relationship Id="rId25" Type="http://schemas.openxmlformats.org/officeDocument/2006/relationships/hyperlink" Target="https://www.legifrance.gouv.fr/juri/id/JURITEXT000036947274?utm_source=chatgpt.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egifrance.gouv.fr/codes/article_lc/LEGIARTI000033022856?utm_source=chatgpt.com" TargetMode="External"/><Relationship Id="rId20" Type="http://schemas.openxmlformats.org/officeDocument/2006/relationships/hyperlink" Target="https://www.legifrance.gouv.fr/codes/section_lc/LEGITEXT000006072050/LEGISCTA000006189536/2026-02-13/?utm_source=chatgpt.com" TargetMode="External"/><Relationship Id="rId29" Type="http://schemas.openxmlformats.org/officeDocument/2006/relationships/hyperlink" Target="https://www.legifrance.gouv.fr/codes/article_lc/LEGIARTI0000367617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36262236" TargetMode="External"/><Relationship Id="rId24" Type="http://schemas.openxmlformats.org/officeDocument/2006/relationships/hyperlink" Target="https://www.legifrance.gouv.fr/codes/article_lc/LEGIARTI000036262236"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egifrance.gouv.fr/codes/id/LEGISCTA000006189519?utm_source=chatgpt.com" TargetMode="External"/><Relationship Id="rId23" Type="http://schemas.openxmlformats.org/officeDocument/2006/relationships/hyperlink" Target="https://www.legifrance.gouv.fr/codes/article_lc/LEGIARTI000036761762" TargetMode="External"/><Relationship Id="rId28" Type="http://schemas.openxmlformats.org/officeDocument/2006/relationships/hyperlink" Target="https://www.legifrance.gouv.fr/codes/article_lc/LEGIARTI000006901778?utm_source=chatgpt.com" TargetMode="External"/><Relationship Id="rId10" Type="http://schemas.openxmlformats.org/officeDocument/2006/relationships/hyperlink" Target="https://www.legifrance.gouv.fr/codes/article_lc/LEGIARTI000006901778?utm_source=chatgpt.com" TargetMode="External"/><Relationship Id="rId19" Type="http://schemas.openxmlformats.org/officeDocument/2006/relationships/hyperlink" Target="https://www.legifrance.gouv.fr/codes/id/LEGISCTA000006145398?utm_source=chatgpt.com" TargetMode="External"/><Relationship Id="rId31" Type="http://schemas.openxmlformats.org/officeDocument/2006/relationships/hyperlink" Target="https://www.legifrance.gouv.fr/codes/id/LEGISCTA000006189531?utm_source=chatgpt.com" TargetMode="External"/><Relationship Id="rId4" Type="http://schemas.openxmlformats.org/officeDocument/2006/relationships/webSettings" Target="webSettings.xml"/><Relationship Id="rId9" Type="http://schemas.openxmlformats.org/officeDocument/2006/relationships/hyperlink" Target="https://www.legifrance.gouv.fr/codes/id/LEGISCTA000006177885?utm_source=chatgpt.com" TargetMode="External"/><Relationship Id="rId14" Type="http://schemas.openxmlformats.org/officeDocument/2006/relationships/hyperlink" Target="https://www.legifrance.gouv.fr/codes/article_lc/LEGIARTI000035652760" TargetMode="External"/><Relationship Id="rId22" Type="http://schemas.openxmlformats.org/officeDocument/2006/relationships/hyperlink" Target="https://www.legifrance.gouv.fr/codes/article_lc/LEGIARTI000036761771" TargetMode="External"/><Relationship Id="rId27" Type="http://schemas.openxmlformats.org/officeDocument/2006/relationships/hyperlink" Target="https://www.legifrance.gouv.fr/juri/id/JURITEXT000048176142?init=true&amp;page=1&amp;query=22-18.685&amp;searchField=ALL&amp;tab_selection=all&amp;utm_source=chatgpt.com" TargetMode="External"/><Relationship Id="rId30" Type="http://schemas.openxmlformats.org/officeDocument/2006/relationships/hyperlink" Target="https://www.legifrance.gouv.fr/codes/article_lc/LEGIARTI000036262236" TargetMode="External"/><Relationship Id="rId8" Type="http://schemas.openxmlformats.org/officeDocument/2006/relationships/hyperlink" Target="https://www.legifrance.gouv.fr/codes/id/LEGISCTA000006177925/2026-07-15?utm_source=chatgpt.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3876</Words>
  <Characters>21319</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2026-08-12T12:56:00Z</dcterms:created>
  <dcterms:modified xsi:type="dcterms:W3CDTF">2026-08-12T13:10:00Z</dcterms:modified>
</cp:coreProperties>
</file>