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AFB12A" w14:textId="77777777" w:rsidR="00013B76" w:rsidRPr="00013B76" w:rsidRDefault="00013B76" w:rsidP="00C74187">
      <w:pPr>
        <w:pStyle w:val="Titre2"/>
        <w:spacing w:before="0" w:after="0" w:line="240" w:lineRule="auto"/>
      </w:pPr>
      <w:r w:rsidRPr="00013B76">
        <w:rPr>
          <w:rFonts w:ascii="Segoe UI Emoji" w:hAnsi="Segoe UI Emoji" w:cs="Segoe UI Emoji"/>
        </w:rPr>
        <w:t>🧩</w:t>
      </w:r>
      <w:r w:rsidRPr="00013B76">
        <w:t xml:space="preserve"> Fiche – Définition et structure du système d’information (SI)</w:t>
      </w:r>
    </w:p>
    <w:p w14:paraId="59D8432D" w14:textId="77777777" w:rsidR="00013B76" w:rsidRPr="00013B76" w:rsidRDefault="00013B76" w:rsidP="00C74187">
      <w:pPr>
        <w:spacing w:after="0" w:line="240" w:lineRule="auto"/>
        <w:rPr>
          <w:b/>
          <w:bCs/>
        </w:rPr>
      </w:pPr>
      <w:r w:rsidRPr="00013B76">
        <w:rPr>
          <w:rFonts w:ascii="Segoe UI Emoji" w:hAnsi="Segoe UI Emoji" w:cs="Segoe UI Emoji"/>
          <w:b/>
          <w:bCs/>
        </w:rPr>
        <w:t>🏁</w:t>
      </w:r>
      <w:r w:rsidRPr="00013B76">
        <w:rPr>
          <w:b/>
          <w:bCs/>
        </w:rPr>
        <w:t xml:space="preserve"> Introduction</w:t>
      </w:r>
    </w:p>
    <w:p w14:paraId="58960BBC" w14:textId="77777777" w:rsidR="00297FD8" w:rsidRDefault="00013B76" w:rsidP="00C74187">
      <w:pPr>
        <w:spacing w:after="0" w:line="240" w:lineRule="auto"/>
      </w:pPr>
      <w:r w:rsidRPr="00013B76">
        <w:t xml:space="preserve">Le </w:t>
      </w:r>
      <w:r w:rsidRPr="00013B76">
        <w:rPr>
          <w:b/>
          <w:bCs/>
        </w:rPr>
        <w:t>système d’information (SI)</w:t>
      </w:r>
      <w:r w:rsidRPr="00013B76">
        <w:t xml:space="preserve"> est devenu le </w:t>
      </w:r>
      <w:r w:rsidRPr="00013B76">
        <w:rPr>
          <w:b/>
          <w:bCs/>
        </w:rPr>
        <w:t>noyau central de la performance des organisations</w:t>
      </w:r>
      <w:r w:rsidRPr="00013B76">
        <w:t xml:space="preserve"> modernes.</w:t>
      </w:r>
    </w:p>
    <w:p w14:paraId="0F4D04D7" w14:textId="63D96C41" w:rsidR="00013B76" w:rsidRPr="00013B76" w:rsidRDefault="00013B76" w:rsidP="00C74187">
      <w:pPr>
        <w:spacing w:after="0" w:line="240" w:lineRule="auto"/>
      </w:pPr>
      <w:r w:rsidRPr="00013B76">
        <w:t>Il ne se limite pas à un ensemble d’outils informatiques</w:t>
      </w:r>
      <w:r w:rsidR="00C74187">
        <w:t> :</w:t>
      </w:r>
      <w:r w:rsidRPr="00013B76">
        <w:t xml:space="preserve"> il constitue un </w:t>
      </w:r>
      <w:r w:rsidRPr="00013B76">
        <w:rPr>
          <w:b/>
          <w:bCs/>
        </w:rPr>
        <w:t xml:space="preserve">système </w:t>
      </w:r>
      <w:proofErr w:type="spellStart"/>
      <w:r w:rsidRPr="00013B76">
        <w:rPr>
          <w:b/>
          <w:bCs/>
        </w:rPr>
        <w:t>socio-technique</w:t>
      </w:r>
      <w:proofErr w:type="spellEnd"/>
      <w:r w:rsidRPr="00013B76">
        <w:t xml:space="preserve">, mêlant technologies, individus et processus, permettant la </w:t>
      </w:r>
      <w:r w:rsidRPr="00013B76">
        <w:rPr>
          <w:b/>
          <w:bCs/>
        </w:rPr>
        <w:t>collecte, le traitement, le stockage et la diffusion de l’information</w:t>
      </w:r>
      <w:r w:rsidRPr="00013B76">
        <w:t xml:space="preserve"> utile à la prise de décision et à la coordination des activités.</w:t>
      </w:r>
    </w:p>
    <w:p w14:paraId="18BF61E8" w14:textId="4F8FE860" w:rsidR="00013B76" w:rsidRPr="00013B76" w:rsidRDefault="00013B76" w:rsidP="00C74187">
      <w:pPr>
        <w:spacing w:after="0" w:line="240" w:lineRule="auto"/>
      </w:pPr>
      <w:r w:rsidRPr="00013B76">
        <w:rPr>
          <w:rFonts w:ascii="Segoe UI Emoji" w:hAnsi="Segoe UI Emoji" w:cs="Segoe UI Emoji"/>
        </w:rPr>
        <w:t>🎯</w:t>
      </w:r>
      <w:r w:rsidRPr="00013B76">
        <w:t xml:space="preserve"> </w:t>
      </w:r>
      <w:r w:rsidRPr="00013B76">
        <w:rPr>
          <w:b/>
          <w:bCs/>
        </w:rPr>
        <w:t>Objectif du SI</w:t>
      </w:r>
      <w:r w:rsidR="00C74187">
        <w:rPr>
          <w:b/>
          <w:bCs/>
        </w:rPr>
        <w:t> :</w:t>
      </w:r>
      <w:r w:rsidRPr="00013B76">
        <w:t xml:space="preserve"> fournir la bonne information, à la bonne personne, au bon moment, pour soutenir les décisions et piloter l’organisation.</w:t>
      </w:r>
    </w:p>
    <w:p w14:paraId="21596C7A" w14:textId="77777777" w:rsidR="00013B76" w:rsidRPr="00013B76" w:rsidRDefault="00013B76" w:rsidP="00C74187">
      <w:pPr>
        <w:spacing w:after="0" w:line="240" w:lineRule="auto"/>
        <w:rPr>
          <w:b/>
          <w:bCs/>
        </w:rPr>
      </w:pPr>
      <w:r w:rsidRPr="00013B76">
        <w:rPr>
          <w:rFonts w:ascii="Segoe UI Emoji" w:hAnsi="Segoe UI Emoji" w:cs="Segoe UI Emoji"/>
          <w:b/>
          <w:bCs/>
        </w:rPr>
        <w:t>💡</w:t>
      </w:r>
      <w:r w:rsidRPr="00013B76">
        <w:rPr>
          <w:b/>
          <w:bCs/>
        </w:rPr>
        <w:t xml:space="preserve"> Définition du système d’information</w:t>
      </w:r>
    </w:p>
    <w:p w14:paraId="7EA337CB" w14:textId="77777777" w:rsidR="00013B76" w:rsidRPr="00013B76" w:rsidRDefault="00013B76" w:rsidP="00C74187">
      <w:pPr>
        <w:spacing w:after="0" w:line="240" w:lineRule="auto"/>
        <w:rPr>
          <w:b/>
          <w:bCs/>
        </w:rPr>
      </w:pPr>
      <w:r>
        <w:t>Définition pédagogique (synthèse, non citation d’une norme)</w:t>
      </w:r>
    </w:p>
    <w:p w14:paraId="56A06A48" w14:textId="77777777" w:rsidR="00013B76" w:rsidRPr="00013B76" w:rsidRDefault="00013B76" w:rsidP="00C74187">
      <w:pPr>
        <w:spacing w:after="0" w:line="240" w:lineRule="auto"/>
      </w:pPr>
      <w:r>
        <w:t>Un système d’information est un ensemble organisé de personnes, de données, de procédures, de règles de gestion, d’applications et d’équipements qui permet de collecter, conserver, traiter, partager et protéger l’information nécessaire aux activités et aux décisions.</w:t>
      </w:r>
    </w:p>
    <w:p w14:paraId="631A343B" w14:textId="4DC42BF2" w:rsidR="00013B76" w:rsidRPr="00013B76" w:rsidRDefault="00013B76" w:rsidP="00C74187">
      <w:pPr>
        <w:spacing w:after="0" w:line="240" w:lineRule="auto"/>
        <w:rPr>
          <w:b/>
          <w:bCs/>
        </w:rPr>
      </w:pPr>
      <w:r>
        <w:t>Normes à distinguer</w:t>
      </w:r>
      <w:r w:rsidR="00C74187">
        <w:t> :</w:t>
      </w:r>
      <w:r>
        <w:t xml:space="preserve"> ISO 9000 et ISO/IEC 27001</w:t>
      </w:r>
    </w:p>
    <w:p w14:paraId="7F52A0BC" w14:textId="623727F3" w:rsidR="00013B76" w:rsidRPr="00013B76" w:rsidRDefault="00013B76" w:rsidP="00C74187">
      <w:pPr>
        <w:spacing w:after="0" w:line="240" w:lineRule="auto"/>
      </w:pPr>
      <w:r>
        <w:t>ISO 9000 traite du management de la qualité et de son vocabulaire</w:t>
      </w:r>
      <w:r w:rsidR="00C74187">
        <w:t> ;</w:t>
      </w:r>
      <w:r>
        <w:t xml:space="preserve"> ISO/IEC 27001:2022 définit les exigences d’un système de management de la sécurité de l’information (SMSI). Ni l’une ni l’autre n’est citée ici comme source littérale de la définition pédagogique ci-dessus.</w:t>
      </w:r>
    </w:p>
    <w:p w14:paraId="1FED3C51" w14:textId="3D1CD4E8" w:rsidR="00013B76" w:rsidRPr="00013B76" w:rsidRDefault="00013B76" w:rsidP="00C74187">
      <w:pPr>
        <w:spacing w:after="0" w:line="240" w:lineRule="auto"/>
        <w:rPr>
          <w:b/>
          <w:bCs/>
        </w:rPr>
      </w:pPr>
      <w:r>
        <w:t>Références méthodologiques</w:t>
      </w:r>
      <w:r w:rsidR="00C74187">
        <w:t> :</w:t>
      </w:r>
      <w:r>
        <w:t xml:space="preserve"> gouvernance, sécurité et architecture du SI</w:t>
      </w:r>
    </w:p>
    <w:p w14:paraId="6B2FB82E" w14:textId="77777777" w:rsidR="00013B76" w:rsidRPr="00013B76" w:rsidRDefault="00013B76" w:rsidP="00C74187">
      <w:pPr>
        <w:spacing w:after="0" w:line="240" w:lineRule="auto"/>
      </w:pPr>
      <w:r>
        <w:t>Les pratiques de gouvernance, de cartographie et de gestion des risques sont décrites par des référentiels distincts (par exemple COBIT pour la gouvernance, ISO/IEC 27001 pour le SMSI, TOGAF pour l’architecture). Leur rôle ne doit pas être confondu avec une définition unique et normative du SI.</w:t>
      </w:r>
    </w:p>
    <w:p w14:paraId="20B9A4DD" w14:textId="3D665E32" w:rsidR="00013B76" w:rsidRPr="00013B76" w:rsidRDefault="00013B76" w:rsidP="00C74187">
      <w:pPr>
        <w:spacing w:after="0" w:line="240" w:lineRule="auto"/>
      </w:pPr>
      <w:r>
        <w:t xml:space="preserve">En résumé, un SI est un dispositif </w:t>
      </w:r>
      <w:r w:rsidR="00964240">
        <w:t>sociotechnique</w:t>
      </w:r>
      <w:r>
        <w:t xml:space="preserve"> de gestion de l’information, orienté vers les processus et les décisions</w:t>
      </w:r>
      <w:r w:rsidR="00C74187">
        <w:t> ;</w:t>
      </w:r>
      <w:r>
        <w:t xml:space="preserve"> sa valeur dépend de l’organisation des responsabilités, de la qualité des données et des contrôles.</w:t>
      </w:r>
    </w:p>
    <w:p w14:paraId="66739B70" w14:textId="77777777" w:rsidR="00013B76" w:rsidRPr="00013B76" w:rsidRDefault="00013B76" w:rsidP="00C74187">
      <w:pPr>
        <w:spacing w:after="0" w:line="240" w:lineRule="auto"/>
        <w:rPr>
          <w:b/>
          <w:bCs/>
        </w:rPr>
      </w:pPr>
      <w:r w:rsidRPr="00013B76">
        <w:rPr>
          <w:rFonts w:ascii="Segoe UI Emoji" w:hAnsi="Segoe UI Emoji" w:cs="Segoe UI Emoji"/>
          <w:b/>
          <w:bCs/>
        </w:rPr>
        <w:t>🧱</w:t>
      </w:r>
      <w:r w:rsidRPr="00013B76">
        <w:rPr>
          <w:b/>
          <w:bCs/>
        </w:rPr>
        <w:t xml:space="preserve"> 1. Les composantes d’un système d’information</w:t>
      </w:r>
    </w:p>
    <w:p w14:paraId="7C1EFEDC" w14:textId="77777777" w:rsidR="00013B76" w:rsidRPr="00013B76" w:rsidRDefault="00013B76" w:rsidP="00C74187">
      <w:pPr>
        <w:spacing w:after="0" w:line="240" w:lineRule="auto"/>
      </w:pPr>
      <w:r w:rsidRPr="00013B76">
        <w:t xml:space="preserve">Un SI combine des éléments </w:t>
      </w:r>
      <w:r w:rsidRPr="00013B76">
        <w:rPr>
          <w:b/>
          <w:bCs/>
        </w:rPr>
        <w:t>techniques, organisationnels et humains</w:t>
      </w:r>
      <w:r w:rsidRPr="00013B76">
        <w:t xml:space="preserve"> interconnectés.</w:t>
      </w:r>
    </w:p>
    <w:tbl>
      <w:tblPr>
        <w:tblStyle w:val="Grilledutableau"/>
        <w:tblW w:w="0" w:type="auto"/>
        <w:tblLook w:val="04A0" w:firstRow="1" w:lastRow="0" w:firstColumn="1" w:lastColumn="0" w:noHBand="0" w:noVBand="1"/>
      </w:tblPr>
      <w:tblGrid>
        <w:gridCol w:w="2625"/>
        <w:gridCol w:w="3557"/>
        <w:gridCol w:w="4274"/>
      </w:tblGrid>
      <w:tr w:rsidR="00013B76" w:rsidRPr="00C74187" w14:paraId="20FA8E99" w14:textId="77777777" w:rsidTr="00C74187">
        <w:trPr>
          <w:tblHeader/>
        </w:trPr>
        <w:tc>
          <w:tcPr>
            <w:tcW w:w="0" w:type="auto"/>
            <w:hideMark/>
          </w:tcPr>
          <w:p w14:paraId="4C2442B2" w14:textId="77777777" w:rsidR="00013B76" w:rsidRPr="00C74187" w:rsidRDefault="00013B76" w:rsidP="00C74187">
            <w:pPr>
              <w:jc w:val="left"/>
              <w:rPr>
                <w:rFonts w:ascii="Calibri" w:hAnsi="Calibri"/>
                <w:b/>
                <w:bCs/>
                <w:sz w:val="20"/>
              </w:rPr>
            </w:pPr>
            <w:r w:rsidRPr="00C74187">
              <w:rPr>
                <w:rFonts w:ascii="Calibri" w:hAnsi="Calibri"/>
                <w:b/>
                <w:bCs/>
                <w:sz w:val="20"/>
              </w:rPr>
              <w:t>Composante</w:t>
            </w:r>
          </w:p>
        </w:tc>
        <w:tc>
          <w:tcPr>
            <w:tcW w:w="0" w:type="auto"/>
            <w:hideMark/>
          </w:tcPr>
          <w:p w14:paraId="261F7B69" w14:textId="77777777" w:rsidR="00013B76" w:rsidRPr="00C74187" w:rsidRDefault="00013B76" w:rsidP="00C74187">
            <w:pPr>
              <w:jc w:val="left"/>
              <w:rPr>
                <w:rFonts w:ascii="Calibri" w:hAnsi="Calibri"/>
                <w:b/>
                <w:bCs/>
                <w:sz w:val="20"/>
              </w:rPr>
            </w:pPr>
            <w:r w:rsidRPr="00C74187">
              <w:rPr>
                <w:rFonts w:ascii="Calibri" w:hAnsi="Calibri"/>
                <w:b/>
                <w:bCs/>
                <w:sz w:val="20"/>
              </w:rPr>
              <w:t>Description</w:t>
            </w:r>
          </w:p>
        </w:tc>
        <w:tc>
          <w:tcPr>
            <w:tcW w:w="0" w:type="auto"/>
            <w:hideMark/>
          </w:tcPr>
          <w:p w14:paraId="20CE2F55" w14:textId="77777777" w:rsidR="00013B76" w:rsidRPr="00C74187" w:rsidRDefault="00013B76" w:rsidP="00C74187">
            <w:pPr>
              <w:jc w:val="left"/>
              <w:rPr>
                <w:rFonts w:ascii="Calibri" w:hAnsi="Calibri"/>
                <w:b/>
                <w:bCs/>
                <w:sz w:val="20"/>
              </w:rPr>
            </w:pPr>
            <w:r w:rsidRPr="00C74187">
              <w:rPr>
                <w:rFonts w:ascii="Calibri" w:hAnsi="Calibri"/>
                <w:b/>
                <w:bCs/>
                <w:sz w:val="20"/>
              </w:rPr>
              <w:t>Exemples</w:t>
            </w:r>
          </w:p>
        </w:tc>
      </w:tr>
      <w:tr w:rsidR="00013B76" w:rsidRPr="00C74187" w14:paraId="5AD15A57" w14:textId="77777777" w:rsidTr="00C74187">
        <w:tc>
          <w:tcPr>
            <w:tcW w:w="0" w:type="auto"/>
            <w:hideMark/>
          </w:tcPr>
          <w:p w14:paraId="473D3855" w14:textId="77777777" w:rsidR="00013B76" w:rsidRPr="00C74187" w:rsidRDefault="00013B76" w:rsidP="00C74187">
            <w:pPr>
              <w:jc w:val="left"/>
              <w:rPr>
                <w:rFonts w:ascii="Calibri" w:hAnsi="Calibri"/>
                <w:sz w:val="20"/>
              </w:rPr>
            </w:pPr>
            <w:r w:rsidRPr="00C74187">
              <w:rPr>
                <w:rFonts w:ascii="Calibri" w:hAnsi="Calibri"/>
                <w:b/>
                <w:bCs/>
                <w:sz w:val="20"/>
              </w:rPr>
              <w:t>Composante technique</w:t>
            </w:r>
          </w:p>
        </w:tc>
        <w:tc>
          <w:tcPr>
            <w:tcW w:w="0" w:type="auto"/>
            <w:hideMark/>
          </w:tcPr>
          <w:p w14:paraId="12A6E9ED" w14:textId="77777777" w:rsidR="00013B76" w:rsidRPr="00C74187" w:rsidRDefault="00013B76" w:rsidP="00C74187">
            <w:pPr>
              <w:jc w:val="left"/>
              <w:rPr>
                <w:rFonts w:ascii="Calibri" w:hAnsi="Calibri"/>
                <w:sz w:val="20"/>
              </w:rPr>
            </w:pPr>
            <w:r w:rsidRPr="00C74187">
              <w:rPr>
                <w:rFonts w:ascii="Calibri" w:hAnsi="Calibri"/>
                <w:sz w:val="20"/>
              </w:rPr>
              <w:t>Infrastructure matérielle et logicielle.</w:t>
            </w:r>
          </w:p>
        </w:tc>
        <w:tc>
          <w:tcPr>
            <w:tcW w:w="0" w:type="auto"/>
            <w:hideMark/>
          </w:tcPr>
          <w:p w14:paraId="2868E2CB" w14:textId="77777777" w:rsidR="00013B76" w:rsidRPr="00C74187" w:rsidRDefault="00013B76" w:rsidP="00C74187">
            <w:pPr>
              <w:jc w:val="left"/>
              <w:rPr>
                <w:rFonts w:ascii="Calibri" w:hAnsi="Calibri"/>
                <w:sz w:val="20"/>
              </w:rPr>
            </w:pPr>
            <w:r w:rsidRPr="00C74187">
              <w:rPr>
                <w:rFonts w:ascii="Calibri" w:hAnsi="Calibri"/>
                <w:sz w:val="20"/>
              </w:rPr>
              <w:t>Serveurs, réseaux, postes clients, cloud, cybersécurité.</w:t>
            </w:r>
          </w:p>
        </w:tc>
      </w:tr>
      <w:tr w:rsidR="00013B76" w:rsidRPr="00C74187" w14:paraId="007DCE55" w14:textId="77777777" w:rsidTr="00C74187">
        <w:tc>
          <w:tcPr>
            <w:tcW w:w="0" w:type="auto"/>
            <w:hideMark/>
          </w:tcPr>
          <w:p w14:paraId="2C839838" w14:textId="77777777" w:rsidR="00013B76" w:rsidRPr="00C74187" w:rsidRDefault="00013B76" w:rsidP="00C74187">
            <w:pPr>
              <w:jc w:val="left"/>
              <w:rPr>
                <w:rFonts w:ascii="Calibri" w:hAnsi="Calibri"/>
                <w:sz w:val="20"/>
              </w:rPr>
            </w:pPr>
            <w:r w:rsidRPr="00C74187">
              <w:rPr>
                <w:rFonts w:ascii="Calibri" w:hAnsi="Calibri"/>
                <w:b/>
                <w:bCs/>
                <w:sz w:val="20"/>
              </w:rPr>
              <w:t>Composante applicative</w:t>
            </w:r>
          </w:p>
        </w:tc>
        <w:tc>
          <w:tcPr>
            <w:tcW w:w="0" w:type="auto"/>
            <w:hideMark/>
          </w:tcPr>
          <w:p w14:paraId="4F73634D" w14:textId="77777777" w:rsidR="00013B76" w:rsidRPr="00C74187" w:rsidRDefault="00013B76" w:rsidP="00C74187">
            <w:pPr>
              <w:jc w:val="left"/>
              <w:rPr>
                <w:rFonts w:ascii="Calibri" w:hAnsi="Calibri"/>
                <w:sz w:val="20"/>
              </w:rPr>
            </w:pPr>
            <w:r w:rsidRPr="00C74187">
              <w:rPr>
                <w:rFonts w:ascii="Calibri" w:hAnsi="Calibri"/>
                <w:sz w:val="20"/>
              </w:rPr>
              <w:t>Logiciels et outils métiers.</w:t>
            </w:r>
          </w:p>
        </w:tc>
        <w:tc>
          <w:tcPr>
            <w:tcW w:w="0" w:type="auto"/>
            <w:hideMark/>
          </w:tcPr>
          <w:p w14:paraId="18B55B57" w14:textId="77777777" w:rsidR="00013B76" w:rsidRPr="00C74187" w:rsidRDefault="00013B76" w:rsidP="00C74187">
            <w:pPr>
              <w:jc w:val="left"/>
              <w:rPr>
                <w:rFonts w:ascii="Calibri" w:hAnsi="Calibri"/>
                <w:sz w:val="20"/>
              </w:rPr>
            </w:pPr>
            <w:r w:rsidRPr="00C74187">
              <w:rPr>
                <w:rFonts w:ascii="Calibri" w:hAnsi="Calibri"/>
                <w:sz w:val="20"/>
              </w:rPr>
              <w:t>ERP, CRM, SIRH, bases de données, outils collaboratifs.</w:t>
            </w:r>
          </w:p>
        </w:tc>
      </w:tr>
      <w:tr w:rsidR="00013B76" w:rsidRPr="00C74187" w14:paraId="71DB27DD" w14:textId="77777777" w:rsidTr="00C74187">
        <w:tc>
          <w:tcPr>
            <w:tcW w:w="0" w:type="auto"/>
            <w:hideMark/>
          </w:tcPr>
          <w:p w14:paraId="75614F6B" w14:textId="77777777" w:rsidR="00013B76" w:rsidRPr="00C74187" w:rsidRDefault="00013B76" w:rsidP="00C74187">
            <w:pPr>
              <w:jc w:val="left"/>
              <w:rPr>
                <w:rFonts w:ascii="Calibri" w:hAnsi="Calibri"/>
                <w:sz w:val="20"/>
              </w:rPr>
            </w:pPr>
            <w:r w:rsidRPr="00C74187">
              <w:rPr>
                <w:rFonts w:ascii="Calibri" w:hAnsi="Calibri"/>
                <w:b/>
                <w:bCs/>
                <w:sz w:val="20"/>
              </w:rPr>
              <w:t>Composante humaine</w:t>
            </w:r>
          </w:p>
        </w:tc>
        <w:tc>
          <w:tcPr>
            <w:tcW w:w="0" w:type="auto"/>
            <w:hideMark/>
          </w:tcPr>
          <w:p w14:paraId="3130B316" w14:textId="77777777" w:rsidR="00013B76" w:rsidRPr="00C74187" w:rsidRDefault="00013B76" w:rsidP="00C74187">
            <w:pPr>
              <w:jc w:val="left"/>
              <w:rPr>
                <w:rFonts w:ascii="Calibri" w:hAnsi="Calibri"/>
                <w:sz w:val="20"/>
              </w:rPr>
            </w:pPr>
            <w:r w:rsidRPr="00C74187">
              <w:rPr>
                <w:rFonts w:ascii="Calibri" w:hAnsi="Calibri"/>
                <w:sz w:val="20"/>
              </w:rPr>
              <w:t>Utilisateurs, administrateurs, managers, DSI.</w:t>
            </w:r>
          </w:p>
        </w:tc>
        <w:tc>
          <w:tcPr>
            <w:tcW w:w="0" w:type="auto"/>
            <w:hideMark/>
          </w:tcPr>
          <w:p w14:paraId="345311B5" w14:textId="77777777" w:rsidR="00013B76" w:rsidRPr="00C74187" w:rsidRDefault="00013B76" w:rsidP="00C74187">
            <w:pPr>
              <w:jc w:val="left"/>
              <w:rPr>
                <w:rFonts w:ascii="Calibri" w:hAnsi="Calibri"/>
                <w:sz w:val="20"/>
              </w:rPr>
            </w:pPr>
            <w:r w:rsidRPr="00C74187">
              <w:rPr>
                <w:rFonts w:ascii="Calibri" w:hAnsi="Calibri"/>
                <w:sz w:val="20"/>
              </w:rPr>
              <w:t>Formation, culture numérique, gouvernance.</w:t>
            </w:r>
          </w:p>
        </w:tc>
      </w:tr>
      <w:tr w:rsidR="00013B76" w:rsidRPr="00C74187" w14:paraId="7EBD8FD3" w14:textId="77777777" w:rsidTr="00C74187">
        <w:tc>
          <w:tcPr>
            <w:tcW w:w="0" w:type="auto"/>
            <w:hideMark/>
          </w:tcPr>
          <w:p w14:paraId="7F9544B0" w14:textId="77777777" w:rsidR="00013B76" w:rsidRPr="00C74187" w:rsidRDefault="00013B76" w:rsidP="00C74187">
            <w:pPr>
              <w:jc w:val="left"/>
              <w:rPr>
                <w:rFonts w:ascii="Calibri" w:hAnsi="Calibri"/>
                <w:sz w:val="20"/>
              </w:rPr>
            </w:pPr>
            <w:r w:rsidRPr="00C74187">
              <w:rPr>
                <w:rFonts w:ascii="Calibri" w:hAnsi="Calibri"/>
                <w:b/>
                <w:bCs/>
                <w:sz w:val="20"/>
              </w:rPr>
              <w:t>Composante organisationnelle</w:t>
            </w:r>
          </w:p>
        </w:tc>
        <w:tc>
          <w:tcPr>
            <w:tcW w:w="0" w:type="auto"/>
            <w:hideMark/>
          </w:tcPr>
          <w:p w14:paraId="1C791A70" w14:textId="77777777" w:rsidR="00013B76" w:rsidRPr="00C74187" w:rsidRDefault="00013B76" w:rsidP="00C74187">
            <w:pPr>
              <w:jc w:val="left"/>
              <w:rPr>
                <w:rFonts w:ascii="Calibri" w:hAnsi="Calibri"/>
                <w:sz w:val="20"/>
              </w:rPr>
            </w:pPr>
            <w:r w:rsidRPr="00C74187">
              <w:rPr>
                <w:rFonts w:ascii="Calibri" w:hAnsi="Calibri"/>
                <w:sz w:val="20"/>
              </w:rPr>
              <w:t>Processus, règles de gestion et structures.</w:t>
            </w:r>
          </w:p>
        </w:tc>
        <w:tc>
          <w:tcPr>
            <w:tcW w:w="0" w:type="auto"/>
            <w:hideMark/>
          </w:tcPr>
          <w:p w14:paraId="6CF7EFF6" w14:textId="77777777" w:rsidR="00013B76" w:rsidRPr="00C74187" w:rsidRDefault="00013B76" w:rsidP="00C74187">
            <w:pPr>
              <w:jc w:val="left"/>
              <w:rPr>
                <w:rFonts w:ascii="Calibri" w:hAnsi="Calibri"/>
                <w:sz w:val="20"/>
              </w:rPr>
            </w:pPr>
            <w:r w:rsidRPr="00C74187">
              <w:rPr>
                <w:rFonts w:ascii="Calibri" w:hAnsi="Calibri"/>
                <w:sz w:val="20"/>
              </w:rPr>
              <w:t>Procédures internes, workflows, gouvernance IT.</w:t>
            </w:r>
          </w:p>
        </w:tc>
      </w:tr>
      <w:tr w:rsidR="00013B76" w:rsidRPr="00C74187" w14:paraId="1ACB99F1" w14:textId="77777777" w:rsidTr="00C74187">
        <w:tc>
          <w:tcPr>
            <w:tcW w:w="0" w:type="auto"/>
            <w:hideMark/>
          </w:tcPr>
          <w:p w14:paraId="49437B60" w14:textId="77777777" w:rsidR="00013B76" w:rsidRPr="00C74187" w:rsidRDefault="00013B76" w:rsidP="00C74187">
            <w:pPr>
              <w:jc w:val="left"/>
              <w:rPr>
                <w:rFonts w:ascii="Calibri" w:hAnsi="Calibri"/>
                <w:sz w:val="20"/>
              </w:rPr>
            </w:pPr>
            <w:r w:rsidRPr="00C74187">
              <w:rPr>
                <w:rFonts w:ascii="Calibri" w:hAnsi="Calibri"/>
                <w:b/>
                <w:bCs/>
                <w:sz w:val="20"/>
              </w:rPr>
              <w:t>Composante informationnelle</w:t>
            </w:r>
          </w:p>
        </w:tc>
        <w:tc>
          <w:tcPr>
            <w:tcW w:w="0" w:type="auto"/>
            <w:hideMark/>
          </w:tcPr>
          <w:p w14:paraId="3CE0F71B" w14:textId="77777777" w:rsidR="00013B76" w:rsidRPr="00C74187" w:rsidRDefault="00013B76" w:rsidP="00C74187">
            <w:pPr>
              <w:jc w:val="left"/>
              <w:rPr>
                <w:rFonts w:ascii="Calibri" w:hAnsi="Calibri"/>
                <w:sz w:val="20"/>
              </w:rPr>
            </w:pPr>
            <w:r w:rsidRPr="00C74187">
              <w:rPr>
                <w:rFonts w:ascii="Calibri" w:hAnsi="Calibri"/>
                <w:sz w:val="20"/>
              </w:rPr>
              <w:t>Ensemble des données et flux échangés.</w:t>
            </w:r>
          </w:p>
        </w:tc>
        <w:tc>
          <w:tcPr>
            <w:tcW w:w="0" w:type="auto"/>
            <w:hideMark/>
          </w:tcPr>
          <w:p w14:paraId="1D74897F" w14:textId="77777777" w:rsidR="00013B76" w:rsidRPr="00C74187" w:rsidRDefault="00013B76" w:rsidP="00C74187">
            <w:pPr>
              <w:jc w:val="left"/>
              <w:rPr>
                <w:rFonts w:ascii="Calibri" w:hAnsi="Calibri"/>
                <w:sz w:val="20"/>
              </w:rPr>
            </w:pPr>
            <w:r w:rsidRPr="00C74187">
              <w:rPr>
                <w:rFonts w:ascii="Calibri" w:hAnsi="Calibri"/>
                <w:sz w:val="20"/>
              </w:rPr>
              <w:t>Données de production, indicateurs, reporting.</w:t>
            </w:r>
          </w:p>
        </w:tc>
      </w:tr>
    </w:tbl>
    <w:p w14:paraId="0FDD6D00" w14:textId="77777777" w:rsidR="00013B76" w:rsidRPr="00013B76" w:rsidRDefault="00013B76" w:rsidP="00C74187">
      <w:pPr>
        <w:spacing w:after="0" w:line="240" w:lineRule="auto"/>
      </w:pPr>
      <w:r w:rsidRPr="00013B76">
        <w:rPr>
          <w:rFonts w:ascii="Segoe UI Emoji" w:hAnsi="Segoe UI Emoji" w:cs="Segoe UI Emoji"/>
        </w:rPr>
        <w:t>📘</w:t>
      </w:r>
      <w:r w:rsidRPr="00013B76">
        <w:t xml:space="preserve"> Ces composantes interagissent en permanence pour assurer la </w:t>
      </w:r>
      <w:r w:rsidRPr="00013B76">
        <w:rPr>
          <w:b/>
          <w:bCs/>
        </w:rPr>
        <w:t>circulation fluide et sécurisée de l’information</w:t>
      </w:r>
      <w:r w:rsidRPr="00013B76">
        <w:t>.</w:t>
      </w:r>
    </w:p>
    <w:p w14:paraId="10CA4B34" w14:textId="77777777" w:rsidR="00013B76" w:rsidRPr="00013B76" w:rsidRDefault="00013B76" w:rsidP="00C74187">
      <w:pPr>
        <w:spacing w:after="0" w:line="240" w:lineRule="auto"/>
        <w:rPr>
          <w:b/>
          <w:bCs/>
        </w:rPr>
      </w:pPr>
      <w:r w:rsidRPr="00013B76">
        <w:rPr>
          <w:rFonts w:ascii="Segoe UI Emoji" w:hAnsi="Segoe UI Emoji" w:cs="Segoe UI Emoji"/>
          <w:b/>
          <w:bCs/>
        </w:rPr>
        <w:t>🧭</w:t>
      </w:r>
      <w:r w:rsidRPr="00013B76">
        <w:rPr>
          <w:b/>
          <w:bCs/>
        </w:rPr>
        <w:t xml:space="preserve"> 2. Fonctions principales du SI</w:t>
      </w:r>
    </w:p>
    <w:tbl>
      <w:tblPr>
        <w:tblStyle w:val="Grilledutableau"/>
        <w:tblW w:w="0" w:type="auto"/>
        <w:tblLook w:val="04A0" w:firstRow="1" w:lastRow="0" w:firstColumn="1" w:lastColumn="0" w:noHBand="0" w:noVBand="1"/>
      </w:tblPr>
      <w:tblGrid>
        <w:gridCol w:w="975"/>
        <w:gridCol w:w="4656"/>
        <w:gridCol w:w="4118"/>
      </w:tblGrid>
      <w:tr w:rsidR="00013B76" w:rsidRPr="00C74187" w14:paraId="67847D5E" w14:textId="77777777" w:rsidTr="00C74187">
        <w:trPr>
          <w:tblHeader/>
        </w:trPr>
        <w:tc>
          <w:tcPr>
            <w:tcW w:w="0" w:type="auto"/>
            <w:hideMark/>
          </w:tcPr>
          <w:p w14:paraId="3BB3D498" w14:textId="77777777" w:rsidR="00013B76" w:rsidRPr="00C74187" w:rsidRDefault="00013B76" w:rsidP="00C74187">
            <w:pPr>
              <w:jc w:val="left"/>
              <w:rPr>
                <w:rFonts w:ascii="Calibri" w:hAnsi="Calibri" w:cs="Calibri"/>
                <w:b/>
                <w:bCs/>
                <w:sz w:val="20"/>
              </w:rPr>
            </w:pPr>
            <w:r w:rsidRPr="00C74187">
              <w:rPr>
                <w:rFonts w:ascii="Calibri" w:hAnsi="Calibri" w:cs="Calibri"/>
                <w:b/>
                <w:bCs/>
                <w:sz w:val="20"/>
              </w:rPr>
              <w:t>Fonction</w:t>
            </w:r>
          </w:p>
        </w:tc>
        <w:tc>
          <w:tcPr>
            <w:tcW w:w="0" w:type="auto"/>
            <w:hideMark/>
          </w:tcPr>
          <w:p w14:paraId="7CEFA8BA" w14:textId="77777777" w:rsidR="00013B76" w:rsidRPr="00C74187" w:rsidRDefault="00013B76" w:rsidP="00C74187">
            <w:pPr>
              <w:jc w:val="left"/>
              <w:rPr>
                <w:rFonts w:ascii="Calibri" w:hAnsi="Calibri" w:cs="Calibri"/>
                <w:b/>
                <w:bCs/>
                <w:sz w:val="20"/>
              </w:rPr>
            </w:pPr>
            <w:r w:rsidRPr="00C74187">
              <w:rPr>
                <w:rFonts w:ascii="Calibri" w:hAnsi="Calibri" w:cs="Calibri"/>
                <w:b/>
                <w:bCs/>
                <w:sz w:val="20"/>
              </w:rPr>
              <w:t>Objectif</w:t>
            </w:r>
          </w:p>
        </w:tc>
        <w:tc>
          <w:tcPr>
            <w:tcW w:w="0" w:type="auto"/>
            <w:hideMark/>
          </w:tcPr>
          <w:p w14:paraId="1128DBCA" w14:textId="77777777" w:rsidR="00013B76" w:rsidRPr="00C74187" w:rsidRDefault="00013B76" w:rsidP="00C74187">
            <w:pPr>
              <w:jc w:val="left"/>
              <w:rPr>
                <w:rFonts w:ascii="Calibri" w:hAnsi="Calibri" w:cs="Calibri"/>
                <w:b/>
                <w:bCs/>
                <w:sz w:val="20"/>
              </w:rPr>
            </w:pPr>
            <w:r w:rsidRPr="00C74187">
              <w:rPr>
                <w:rFonts w:ascii="Calibri" w:hAnsi="Calibri" w:cs="Calibri"/>
                <w:b/>
                <w:bCs/>
                <w:sz w:val="20"/>
              </w:rPr>
              <w:t>Exemple</w:t>
            </w:r>
          </w:p>
        </w:tc>
      </w:tr>
      <w:tr w:rsidR="00013B76" w:rsidRPr="00C74187" w14:paraId="5FBAF5A5" w14:textId="77777777" w:rsidTr="00C74187">
        <w:tc>
          <w:tcPr>
            <w:tcW w:w="0" w:type="auto"/>
            <w:hideMark/>
          </w:tcPr>
          <w:p w14:paraId="60CA66B3" w14:textId="77777777" w:rsidR="00013B76" w:rsidRPr="00C74187" w:rsidRDefault="00013B76" w:rsidP="00C74187">
            <w:pPr>
              <w:jc w:val="left"/>
              <w:rPr>
                <w:rFonts w:ascii="Calibri" w:hAnsi="Calibri" w:cs="Calibri"/>
                <w:sz w:val="20"/>
              </w:rPr>
            </w:pPr>
            <w:r w:rsidRPr="00C74187">
              <w:rPr>
                <w:rFonts w:ascii="Calibri" w:hAnsi="Calibri" w:cs="Calibri"/>
                <w:b/>
                <w:bCs/>
                <w:sz w:val="20"/>
              </w:rPr>
              <w:t>Collecter</w:t>
            </w:r>
          </w:p>
        </w:tc>
        <w:tc>
          <w:tcPr>
            <w:tcW w:w="0" w:type="auto"/>
            <w:hideMark/>
          </w:tcPr>
          <w:p w14:paraId="4FD2BBEA" w14:textId="77777777" w:rsidR="00013B76" w:rsidRPr="00C74187" w:rsidRDefault="00013B76" w:rsidP="00C74187">
            <w:pPr>
              <w:jc w:val="left"/>
              <w:rPr>
                <w:rFonts w:ascii="Calibri" w:hAnsi="Calibri" w:cs="Calibri"/>
                <w:sz w:val="20"/>
              </w:rPr>
            </w:pPr>
            <w:r w:rsidRPr="00C74187">
              <w:rPr>
                <w:rFonts w:ascii="Calibri" w:hAnsi="Calibri" w:cs="Calibri"/>
                <w:sz w:val="20"/>
              </w:rPr>
              <w:t>Acquérir des données internes et externes.</w:t>
            </w:r>
          </w:p>
        </w:tc>
        <w:tc>
          <w:tcPr>
            <w:tcW w:w="0" w:type="auto"/>
            <w:hideMark/>
          </w:tcPr>
          <w:p w14:paraId="627FE682" w14:textId="77777777" w:rsidR="00013B76" w:rsidRPr="00C74187" w:rsidRDefault="00013B76" w:rsidP="00C74187">
            <w:pPr>
              <w:jc w:val="left"/>
              <w:rPr>
                <w:rFonts w:ascii="Calibri" w:hAnsi="Calibri" w:cs="Calibri"/>
                <w:sz w:val="20"/>
              </w:rPr>
            </w:pPr>
            <w:r w:rsidRPr="00C74187">
              <w:rPr>
                <w:rFonts w:ascii="Calibri" w:hAnsi="Calibri" w:cs="Calibri"/>
                <w:sz w:val="20"/>
              </w:rPr>
              <w:t>Saisie comptable, capteurs IoT, formulaires web.</w:t>
            </w:r>
          </w:p>
        </w:tc>
      </w:tr>
      <w:tr w:rsidR="00013B76" w:rsidRPr="00C74187" w14:paraId="67B42A16" w14:textId="77777777" w:rsidTr="00C74187">
        <w:tc>
          <w:tcPr>
            <w:tcW w:w="0" w:type="auto"/>
            <w:hideMark/>
          </w:tcPr>
          <w:p w14:paraId="226EB4C7" w14:textId="77777777" w:rsidR="00013B76" w:rsidRPr="00C74187" w:rsidRDefault="00013B76" w:rsidP="00C74187">
            <w:pPr>
              <w:jc w:val="left"/>
              <w:rPr>
                <w:rFonts w:ascii="Calibri" w:hAnsi="Calibri" w:cs="Calibri"/>
                <w:sz w:val="20"/>
              </w:rPr>
            </w:pPr>
            <w:r w:rsidRPr="00C74187">
              <w:rPr>
                <w:rFonts w:ascii="Calibri" w:hAnsi="Calibri" w:cs="Calibri"/>
                <w:b/>
                <w:bCs/>
                <w:sz w:val="20"/>
              </w:rPr>
              <w:t>Stocker</w:t>
            </w:r>
          </w:p>
        </w:tc>
        <w:tc>
          <w:tcPr>
            <w:tcW w:w="0" w:type="auto"/>
            <w:hideMark/>
          </w:tcPr>
          <w:p w14:paraId="0C19F71C" w14:textId="77777777" w:rsidR="00013B76" w:rsidRPr="00C74187" w:rsidRDefault="00013B76" w:rsidP="00C74187">
            <w:pPr>
              <w:jc w:val="left"/>
              <w:rPr>
                <w:rFonts w:ascii="Calibri" w:hAnsi="Calibri" w:cs="Calibri"/>
                <w:sz w:val="20"/>
              </w:rPr>
            </w:pPr>
            <w:r w:rsidRPr="00C74187">
              <w:rPr>
                <w:rFonts w:ascii="Calibri" w:hAnsi="Calibri" w:cs="Calibri"/>
                <w:sz w:val="20"/>
              </w:rPr>
              <w:t>Conserver et organiser l’information.</w:t>
            </w:r>
          </w:p>
        </w:tc>
        <w:tc>
          <w:tcPr>
            <w:tcW w:w="0" w:type="auto"/>
            <w:hideMark/>
          </w:tcPr>
          <w:p w14:paraId="5B29A538" w14:textId="77777777" w:rsidR="00013B76" w:rsidRPr="00C74187" w:rsidRDefault="00013B76" w:rsidP="00C74187">
            <w:pPr>
              <w:jc w:val="left"/>
              <w:rPr>
                <w:rFonts w:ascii="Calibri" w:hAnsi="Calibri" w:cs="Calibri"/>
                <w:sz w:val="20"/>
                <w:lang w:val="en-GB"/>
              </w:rPr>
            </w:pPr>
            <w:r w:rsidRPr="00C74187">
              <w:rPr>
                <w:rFonts w:ascii="Calibri" w:hAnsi="Calibri" w:cs="Calibri"/>
                <w:sz w:val="20"/>
                <w:lang w:val="en-GB"/>
              </w:rPr>
              <w:t>Bases SQL, data warehouse, cloud.</w:t>
            </w:r>
          </w:p>
        </w:tc>
      </w:tr>
      <w:tr w:rsidR="00013B76" w:rsidRPr="00C74187" w14:paraId="6C1187FA" w14:textId="77777777" w:rsidTr="00C74187">
        <w:tc>
          <w:tcPr>
            <w:tcW w:w="0" w:type="auto"/>
            <w:hideMark/>
          </w:tcPr>
          <w:p w14:paraId="05BF788B" w14:textId="77777777" w:rsidR="00013B76" w:rsidRPr="00C74187" w:rsidRDefault="00013B76" w:rsidP="00C74187">
            <w:pPr>
              <w:jc w:val="left"/>
              <w:rPr>
                <w:rFonts w:ascii="Calibri" w:hAnsi="Calibri" w:cs="Calibri"/>
                <w:sz w:val="20"/>
              </w:rPr>
            </w:pPr>
            <w:r w:rsidRPr="00C74187">
              <w:rPr>
                <w:rFonts w:ascii="Calibri" w:hAnsi="Calibri" w:cs="Calibri"/>
                <w:b/>
                <w:bCs/>
                <w:sz w:val="20"/>
              </w:rPr>
              <w:t>Traiter</w:t>
            </w:r>
          </w:p>
        </w:tc>
        <w:tc>
          <w:tcPr>
            <w:tcW w:w="0" w:type="auto"/>
            <w:hideMark/>
          </w:tcPr>
          <w:p w14:paraId="1D802B37" w14:textId="77777777" w:rsidR="00013B76" w:rsidRPr="00C74187" w:rsidRDefault="00013B76" w:rsidP="00C74187">
            <w:pPr>
              <w:jc w:val="left"/>
              <w:rPr>
                <w:rFonts w:ascii="Calibri" w:hAnsi="Calibri" w:cs="Calibri"/>
                <w:sz w:val="20"/>
              </w:rPr>
            </w:pPr>
            <w:r w:rsidRPr="00C74187">
              <w:rPr>
                <w:rFonts w:ascii="Calibri" w:hAnsi="Calibri" w:cs="Calibri"/>
                <w:sz w:val="20"/>
              </w:rPr>
              <w:t>Transformer les données en informations utiles.</w:t>
            </w:r>
          </w:p>
        </w:tc>
        <w:tc>
          <w:tcPr>
            <w:tcW w:w="0" w:type="auto"/>
            <w:hideMark/>
          </w:tcPr>
          <w:p w14:paraId="590691BB" w14:textId="77777777" w:rsidR="00013B76" w:rsidRPr="00C74187" w:rsidRDefault="00013B76" w:rsidP="00C74187">
            <w:pPr>
              <w:jc w:val="left"/>
              <w:rPr>
                <w:rFonts w:ascii="Calibri" w:hAnsi="Calibri" w:cs="Calibri"/>
                <w:sz w:val="20"/>
              </w:rPr>
            </w:pPr>
            <w:r w:rsidRPr="00C74187">
              <w:rPr>
                <w:rFonts w:ascii="Calibri" w:hAnsi="Calibri" w:cs="Calibri"/>
                <w:sz w:val="20"/>
              </w:rPr>
              <w:t>Calculs, agrégations, algorithmes IA.</w:t>
            </w:r>
          </w:p>
        </w:tc>
      </w:tr>
      <w:tr w:rsidR="00013B76" w:rsidRPr="00C74187" w14:paraId="2A65C276" w14:textId="77777777" w:rsidTr="00C74187">
        <w:tc>
          <w:tcPr>
            <w:tcW w:w="0" w:type="auto"/>
            <w:hideMark/>
          </w:tcPr>
          <w:p w14:paraId="779A61E0" w14:textId="77777777" w:rsidR="00013B76" w:rsidRPr="00C74187" w:rsidRDefault="00013B76" w:rsidP="00C74187">
            <w:pPr>
              <w:jc w:val="left"/>
              <w:rPr>
                <w:rFonts w:ascii="Calibri" w:hAnsi="Calibri" w:cs="Calibri"/>
                <w:sz w:val="20"/>
              </w:rPr>
            </w:pPr>
            <w:r w:rsidRPr="00C74187">
              <w:rPr>
                <w:rFonts w:ascii="Calibri" w:hAnsi="Calibri" w:cs="Calibri"/>
                <w:b/>
                <w:bCs/>
                <w:sz w:val="20"/>
              </w:rPr>
              <w:t>Diffuser</w:t>
            </w:r>
          </w:p>
        </w:tc>
        <w:tc>
          <w:tcPr>
            <w:tcW w:w="0" w:type="auto"/>
            <w:hideMark/>
          </w:tcPr>
          <w:p w14:paraId="78A9C97B" w14:textId="77777777" w:rsidR="00013B76" w:rsidRPr="00C74187" w:rsidRDefault="00013B76" w:rsidP="00C74187">
            <w:pPr>
              <w:jc w:val="left"/>
              <w:rPr>
                <w:rFonts w:ascii="Calibri" w:hAnsi="Calibri" w:cs="Calibri"/>
                <w:sz w:val="20"/>
              </w:rPr>
            </w:pPr>
            <w:r w:rsidRPr="00C74187">
              <w:rPr>
                <w:rFonts w:ascii="Calibri" w:hAnsi="Calibri" w:cs="Calibri"/>
                <w:sz w:val="20"/>
              </w:rPr>
              <w:t>Partager l’information aux acteurs concernés.</w:t>
            </w:r>
          </w:p>
        </w:tc>
        <w:tc>
          <w:tcPr>
            <w:tcW w:w="0" w:type="auto"/>
            <w:hideMark/>
          </w:tcPr>
          <w:p w14:paraId="24A35E4F" w14:textId="77777777" w:rsidR="00013B76" w:rsidRPr="00C74187" w:rsidRDefault="00013B76" w:rsidP="00C74187">
            <w:pPr>
              <w:jc w:val="left"/>
              <w:rPr>
                <w:rFonts w:ascii="Calibri" w:hAnsi="Calibri" w:cs="Calibri"/>
                <w:sz w:val="20"/>
              </w:rPr>
            </w:pPr>
            <w:r w:rsidRPr="00C74187">
              <w:rPr>
                <w:rFonts w:ascii="Calibri" w:hAnsi="Calibri" w:cs="Calibri"/>
                <w:sz w:val="20"/>
              </w:rPr>
              <w:t>Tableaux de bord, intranet, reporting BI.</w:t>
            </w:r>
          </w:p>
        </w:tc>
      </w:tr>
      <w:tr w:rsidR="00013B76" w:rsidRPr="00C74187" w14:paraId="4CA88478" w14:textId="77777777" w:rsidTr="00C74187">
        <w:tc>
          <w:tcPr>
            <w:tcW w:w="0" w:type="auto"/>
            <w:hideMark/>
          </w:tcPr>
          <w:p w14:paraId="1CE1E077" w14:textId="77777777" w:rsidR="00013B76" w:rsidRPr="00C74187" w:rsidRDefault="00013B76" w:rsidP="00C74187">
            <w:pPr>
              <w:jc w:val="left"/>
              <w:rPr>
                <w:rFonts w:ascii="Calibri" w:hAnsi="Calibri" w:cs="Calibri"/>
                <w:sz w:val="20"/>
              </w:rPr>
            </w:pPr>
            <w:r w:rsidRPr="00C74187">
              <w:rPr>
                <w:rFonts w:ascii="Calibri" w:hAnsi="Calibri" w:cs="Calibri"/>
                <w:b/>
                <w:bCs/>
                <w:sz w:val="20"/>
              </w:rPr>
              <w:t>Sécuriser</w:t>
            </w:r>
          </w:p>
        </w:tc>
        <w:tc>
          <w:tcPr>
            <w:tcW w:w="0" w:type="auto"/>
            <w:hideMark/>
          </w:tcPr>
          <w:p w14:paraId="206D0688" w14:textId="77777777" w:rsidR="00013B76" w:rsidRPr="00C74187" w:rsidRDefault="00013B76" w:rsidP="00C74187">
            <w:pPr>
              <w:jc w:val="left"/>
              <w:rPr>
                <w:rFonts w:ascii="Calibri" w:hAnsi="Calibri" w:cs="Calibri"/>
                <w:sz w:val="20"/>
              </w:rPr>
            </w:pPr>
            <w:r w:rsidRPr="00C74187">
              <w:rPr>
                <w:rFonts w:ascii="Calibri" w:hAnsi="Calibri" w:cs="Calibri"/>
                <w:sz w:val="20"/>
              </w:rPr>
              <w:t>Garantir la confidentialité, l’intégrité et la disponibilité.</w:t>
            </w:r>
          </w:p>
        </w:tc>
        <w:tc>
          <w:tcPr>
            <w:tcW w:w="0" w:type="auto"/>
            <w:hideMark/>
          </w:tcPr>
          <w:p w14:paraId="11A045F5" w14:textId="77777777" w:rsidR="00013B76" w:rsidRPr="00C74187" w:rsidRDefault="00013B76" w:rsidP="00C74187">
            <w:pPr>
              <w:jc w:val="left"/>
              <w:rPr>
                <w:rFonts w:ascii="Calibri" w:hAnsi="Calibri" w:cs="Calibri"/>
                <w:sz w:val="20"/>
              </w:rPr>
            </w:pPr>
            <w:r w:rsidRPr="00C74187">
              <w:rPr>
                <w:rFonts w:ascii="Calibri" w:hAnsi="Calibri" w:cs="Calibri"/>
                <w:sz w:val="20"/>
              </w:rPr>
              <w:t>Contrôle d’accès, chiffrement, sauvegarde.</w:t>
            </w:r>
          </w:p>
        </w:tc>
      </w:tr>
    </w:tbl>
    <w:p w14:paraId="77EEDFD5" w14:textId="77777777" w:rsidR="00013B76" w:rsidRPr="00013B76" w:rsidRDefault="00013B76" w:rsidP="00C74187">
      <w:pPr>
        <w:spacing w:after="0" w:line="240" w:lineRule="auto"/>
      </w:pPr>
      <w:r w:rsidRPr="00013B76">
        <w:rPr>
          <w:rFonts w:ascii="Segoe UI Emoji" w:hAnsi="Segoe UI Emoji" w:cs="Segoe UI Emoji"/>
        </w:rPr>
        <w:t>🔎</w:t>
      </w:r>
      <w:r w:rsidRPr="00013B76">
        <w:t xml:space="preserve"> Ces fonctions reposent sur des </w:t>
      </w:r>
      <w:r w:rsidRPr="00013B76">
        <w:rPr>
          <w:b/>
          <w:bCs/>
        </w:rPr>
        <w:t>flux d’informations</w:t>
      </w:r>
      <w:r w:rsidRPr="00013B76">
        <w:t xml:space="preserve"> reliant les différentes unités de l’organisation.</w:t>
      </w:r>
    </w:p>
    <w:p w14:paraId="0C16556A" w14:textId="77777777" w:rsidR="00013B76" w:rsidRPr="00013B76" w:rsidRDefault="00013B76" w:rsidP="00C74187">
      <w:pPr>
        <w:spacing w:after="0" w:line="240" w:lineRule="auto"/>
        <w:rPr>
          <w:b/>
          <w:bCs/>
        </w:rPr>
      </w:pPr>
      <w:r w:rsidRPr="00013B76">
        <w:rPr>
          <w:rFonts w:ascii="Segoe UI Emoji" w:hAnsi="Segoe UI Emoji" w:cs="Segoe UI Emoji"/>
          <w:b/>
          <w:bCs/>
        </w:rPr>
        <w:t>🧮</w:t>
      </w:r>
      <w:r w:rsidRPr="00013B76">
        <w:rPr>
          <w:b/>
          <w:bCs/>
        </w:rPr>
        <w:t xml:space="preserve"> 3. Typologie des systèmes d’information</w:t>
      </w:r>
    </w:p>
    <w:p w14:paraId="4FD76F44" w14:textId="77777777" w:rsidR="00013B76" w:rsidRPr="00013B76" w:rsidRDefault="00013B76" w:rsidP="00C74187">
      <w:pPr>
        <w:spacing w:after="0" w:line="240" w:lineRule="auto"/>
        <w:rPr>
          <w:b/>
          <w:bCs/>
        </w:rPr>
      </w:pPr>
      <w:r w:rsidRPr="00013B76">
        <w:rPr>
          <w:rFonts w:ascii="Segoe UI Emoji" w:hAnsi="Segoe UI Emoji" w:cs="Segoe UI Emoji"/>
          <w:b/>
          <w:bCs/>
        </w:rPr>
        <w:t>🧰</w:t>
      </w:r>
      <w:r w:rsidRPr="00013B76">
        <w:rPr>
          <w:b/>
          <w:bCs/>
        </w:rPr>
        <w:t xml:space="preserve"> Les systèmes selon leur finalité</w:t>
      </w:r>
    </w:p>
    <w:tbl>
      <w:tblPr>
        <w:tblStyle w:val="Grilledutableau"/>
        <w:tblW w:w="0" w:type="auto"/>
        <w:tblLook w:val="04A0" w:firstRow="1" w:lastRow="0" w:firstColumn="1" w:lastColumn="0" w:noHBand="0" w:noVBand="1"/>
      </w:tblPr>
      <w:tblGrid>
        <w:gridCol w:w="2226"/>
        <w:gridCol w:w="5709"/>
        <w:gridCol w:w="2521"/>
      </w:tblGrid>
      <w:tr w:rsidR="00013B76" w:rsidRPr="00C74187" w14:paraId="52E52F80" w14:textId="77777777" w:rsidTr="00C74187">
        <w:trPr>
          <w:tblHeader/>
        </w:trPr>
        <w:tc>
          <w:tcPr>
            <w:tcW w:w="0" w:type="auto"/>
            <w:hideMark/>
          </w:tcPr>
          <w:p w14:paraId="16D4608B" w14:textId="77777777" w:rsidR="00013B76" w:rsidRPr="00C74187" w:rsidRDefault="00013B76" w:rsidP="00C74187">
            <w:pPr>
              <w:jc w:val="left"/>
              <w:rPr>
                <w:rFonts w:ascii="Calibri" w:hAnsi="Calibri" w:cs="Calibri"/>
                <w:b/>
                <w:bCs/>
                <w:sz w:val="20"/>
              </w:rPr>
            </w:pPr>
            <w:r w:rsidRPr="00C74187">
              <w:rPr>
                <w:rFonts w:ascii="Calibri" w:hAnsi="Calibri" w:cs="Calibri"/>
                <w:b/>
                <w:bCs/>
                <w:sz w:val="20"/>
              </w:rPr>
              <w:t>Type de SI</w:t>
            </w:r>
          </w:p>
        </w:tc>
        <w:tc>
          <w:tcPr>
            <w:tcW w:w="0" w:type="auto"/>
            <w:hideMark/>
          </w:tcPr>
          <w:p w14:paraId="6C8869FE" w14:textId="77777777" w:rsidR="00013B76" w:rsidRPr="00C74187" w:rsidRDefault="00013B76" w:rsidP="00C74187">
            <w:pPr>
              <w:jc w:val="left"/>
              <w:rPr>
                <w:rFonts w:ascii="Calibri" w:hAnsi="Calibri" w:cs="Calibri"/>
                <w:b/>
                <w:bCs/>
                <w:sz w:val="20"/>
              </w:rPr>
            </w:pPr>
            <w:r w:rsidRPr="00C74187">
              <w:rPr>
                <w:rFonts w:ascii="Calibri" w:hAnsi="Calibri" w:cs="Calibri"/>
                <w:b/>
                <w:bCs/>
                <w:sz w:val="20"/>
              </w:rPr>
              <w:t>Rôle principal</w:t>
            </w:r>
          </w:p>
        </w:tc>
        <w:tc>
          <w:tcPr>
            <w:tcW w:w="0" w:type="auto"/>
            <w:hideMark/>
          </w:tcPr>
          <w:p w14:paraId="485729A3" w14:textId="77777777" w:rsidR="00013B76" w:rsidRPr="00C74187" w:rsidRDefault="00013B76" w:rsidP="00C74187">
            <w:pPr>
              <w:jc w:val="left"/>
              <w:rPr>
                <w:rFonts w:ascii="Calibri" w:hAnsi="Calibri" w:cs="Calibri"/>
                <w:b/>
                <w:bCs/>
                <w:sz w:val="20"/>
              </w:rPr>
            </w:pPr>
            <w:r w:rsidRPr="00C74187">
              <w:rPr>
                <w:rFonts w:ascii="Calibri" w:hAnsi="Calibri" w:cs="Calibri"/>
                <w:b/>
                <w:bCs/>
                <w:sz w:val="20"/>
              </w:rPr>
              <w:t>Exemples</w:t>
            </w:r>
          </w:p>
        </w:tc>
      </w:tr>
      <w:tr w:rsidR="00013B76" w:rsidRPr="00C74187" w14:paraId="0BCD9B1B" w14:textId="77777777" w:rsidTr="00C74187">
        <w:tc>
          <w:tcPr>
            <w:tcW w:w="0" w:type="auto"/>
            <w:hideMark/>
          </w:tcPr>
          <w:p w14:paraId="3D5C20CF" w14:textId="77777777" w:rsidR="00013B76" w:rsidRPr="00C74187" w:rsidRDefault="00013B76" w:rsidP="00C74187">
            <w:pPr>
              <w:jc w:val="left"/>
              <w:rPr>
                <w:rFonts w:ascii="Calibri" w:hAnsi="Calibri" w:cs="Calibri"/>
                <w:sz w:val="20"/>
              </w:rPr>
            </w:pPr>
            <w:r w:rsidRPr="00C74187">
              <w:rPr>
                <w:rFonts w:ascii="Calibri" w:hAnsi="Calibri" w:cs="Calibri"/>
                <w:b/>
                <w:bCs/>
                <w:sz w:val="20"/>
              </w:rPr>
              <w:t>Systèmes transactionnels (TPS)</w:t>
            </w:r>
          </w:p>
        </w:tc>
        <w:tc>
          <w:tcPr>
            <w:tcW w:w="0" w:type="auto"/>
            <w:hideMark/>
          </w:tcPr>
          <w:p w14:paraId="126380D7" w14:textId="77777777" w:rsidR="00013B76" w:rsidRPr="00C74187" w:rsidRDefault="00013B76" w:rsidP="00C74187">
            <w:pPr>
              <w:jc w:val="left"/>
              <w:rPr>
                <w:rFonts w:ascii="Calibri" w:hAnsi="Calibri" w:cs="Calibri"/>
                <w:sz w:val="20"/>
              </w:rPr>
            </w:pPr>
            <w:r w:rsidRPr="00C74187">
              <w:rPr>
                <w:rFonts w:ascii="Calibri" w:hAnsi="Calibri" w:cs="Calibri"/>
                <w:sz w:val="20"/>
              </w:rPr>
              <w:t>Gérer les opérations courantes.</w:t>
            </w:r>
          </w:p>
        </w:tc>
        <w:tc>
          <w:tcPr>
            <w:tcW w:w="0" w:type="auto"/>
            <w:hideMark/>
          </w:tcPr>
          <w:p w14:paraId="0E527134" w14:textId="77777777" w:rsidR="00013B76" w:rsidRPr="00C74187" w:rsidRDefault="00013B76" w:rsidP="00C74187">
            <w:pPr>
              <w:jc w:val="left"/>
              <w:rPr>
                <w:rFonts w:ascii="Calibri" w:hAnsi="Calibri" w:cs="Calibri"/>
                <w:sz w:val="20"/>
              </w:rPr>
            </w:pPr>
            <w:r w:rsidRPr="00C74187">
              <w:rPr>
                <w:rFonts w:ascii="Calibri" w:hAnsi="Calibri" w:cs="Calibri"/>
                <w:sz w:val="20"/>
              </w:rPr>
              <w:t>Facturation, commandes, paie.</w:t>
            </w:r>
          </w:p>
        </w:tc>
      </w:tr>
      <w:tr w:rsidR="00013B76" w:rsidRPr="00C74187" w14:paraId="50E693EE" w14:textId="77777777" w:rsidTr="00C74187">
        <w:tc>
          <w:tcPr>
            <w:tcW w:w="0" w:type="auto"/>
            <w:hideMark/>
          </w:tcPr>
          <w:p w14:paraId="69C40BA9" w14:textId="77777777" w:rsidR="00013B76" w:rsidRPr="00C74187" w:rsidRDefault="00013B76" w:rsidP="00C74187">
            <w:pPr>
              <w:jc w:val="left"/>
              <w:rPr>
                <w:rFonts w:ascii="Calibri" w:hAnsi="Calibri" w:cs="Calibri"/>
                <w:sz w:val="20"/>
              </w:rPr>
            </w:pPr>
            <w:r w:rsidRPr="00C74187">
              <w:rPr>
                <w:rFonts w:ascii="Calibri" w:hAnsi="Calibri" w:cs="Calibri"/>
                <w:b/>
                <w:bCs/>
                <w:sz w:val="20"/>
              </w:rPr>
              <w:t>Systèmes de gestion (MIS)</w:t>
            </w:r>
          </w:p>
        </w:tc>
        <w:tc>
          <w:tcPr>
            <w:tcW w:w="0" w:type="auto"/>
            <w:hideMark/>
          </w:tcPr>
          <w:p w14:paraId="21003CB8" w14:textId="77777777" w:rsidR="00013B76" w:rsidRPr="00C74187" w:rsidRDefault="00013B76" w:rsidP="00C74187">
            <w:pPr>
              <w:jc w:val="left"/>
              <w:rPr>
                <w:rFonts w:ascii="Calibri" w:hAnsi="Calibri" w:cs="Calibri"/>
                <w:sz w:val="20"/>
              </w:rPr>
            </w:pPr>
            <w:r w:rsidRPr="00C74187">
              <w:rPr>
                <w:rFonts w:ascii="Calibri" w:hAnsi="Calibri" w:cs="Calibri"/>
                <w:sz w:val="20"/>
              </w:rPr>
              <w:t>Produire des rapports et synthèses.</w:t>
            </w:r>
          </w:p>
        </w:tc>
        <w:tc>
          <w:tcPr>
            <w:tcW w:w="0" w:type="auto"/>
            <w:hideMark/>
          </w:tcPr>
          <w:p w14:paraId="21262F05" w14:textId="77777777" w:rsidR="00013B76" w:rsidRPr="00C74187" w:rsidRDefault="00013B76" w:rsidP="00C74187">
            <w:pPr>
              <w:jc w:val="left"/>
              <w:rPr>
                <w:rFonts w:ascii="Calibri" w:hAnsi="Calibri" w:cs="Calibri"/>
                <w:sz w:val="20"/>
              </w:rPr>
            </w:pPr>
            <w:r w:rsidRPr="00C74187">
              <w:rPr>
                <w:rFonts w:ascii="Calibri" w:hAnsi="Calibri" w:cs="Calibri"/>
                <w:sz w:val="20"/>
              </w:rPr>
              <w:t>Tableaux de bord, reporting.</w:t>
            </w:r>
          </w:p>
        </w:tc>
      </w:tr>
      <w:tr w:rsidR="00013B76" w:rsidRPr="00C74187" w14:paraId="19C93C17" w14:textId="77777777" w:rsidTr="00C74187">
        <w:tc>
          <w:tcPr>
            <w:tcW w:w="0" w:type="auto"/>
            <w:hideMark/>
          </w:tcPr>
          <w:p w14:paraId="38C5E562" w14:textId="77777777" w:rsidR="00013B76" w:rsidRPr="00C74187" w:rsidRDefault="00013B76" w:rsidP="00C74187">
            <w:pPr>
              <w:jc w:val="left"/>
              <w:rPr>
                <w:rFonts w:ascii="Calibri" w:hAnsi="Calibri" w:cs="Calibri"/>
                <w:sz w:val="20"/>
              </w:rPr>
            </w:pPr>
            <w:r w:rsidRPr="00C74187">
              <w:rPr>
                <w:rFonts w:ascii="Calibri" w:hAnsi="Calibri" w:cs="Calibri"/>
                <w:b/>
                <w:bCs/>
                <w:sz w:val="20"/>
              </w:rPr>
              <w:t>Systèmes d’aide à la décision (DSS)</w:t>
            </w:r>
          </w:p>
        </w:tc>
        <w:tc>
          <w:tcPr>
            <w:tcW w:w="0" w:type="auto"/>
            <w:hideMark/>
          </w:tcPr>
          <w:p w14:paraId="1AFDA4DD" w14:textId="77777777" w:rsidR="00636B8E" w:rsidRPr="00C74187" w:rsidRDefault="00000000" w:rsidP="00C74187">
            <w:pPr>
              <w:jc w:val="left"/>
              <w:rPr>
                <w:rFonts w:ascii="Calibri" w:hAnsi="Calibri" w:cs="Calibri"/>
                <w:sz w:val="20"/>
              </w:rPr>
            </w:pPr>
            <w:r w:rsidRPr="00C74187">
              <w:rPr>
                <w:rFonts w:ascii="Calibri" w:hAnsi="Calibri" w:cs="Calibri"/>
                <w:sz w:val="20"/>
              </w:rPr>
              <w:t>Appuyer l’analyse et des décisions de nature opérationnelle, tactique ou stratégique.</w:t>
            </w:r>
          </w:p>
        </w:tc>
        <w:tc>
          <w:tcPr>
            <w:tcW w:w="0" w:type="auto"/>
            <w:hideMark/>
          </w:tcPr>
          <w:p w14:paraId="0FAA77F9" w14:textId="77777777" w:rsidR="00013B76" w:rsidRPr="00C74187" w:rsidRDefault="00013B76" w:rsidP="00C74187">
            <w:pPr>
              <w:jc w:val="left"/>
              <w:rPr>
                <w:rFonts w:ascii="Calibri" w:hAnsi="Calibri" w:cs="Calibri"/>
                <w:sz w:val="20"/>
              </w:rPr>
            </w:pPr>
            <w:r w:rsidRPr="00C74187">
              <w:rPr>
                <w:rFonts w:ascii="Calibri" w:hAnsi="Calibri" w:cs="Calibri"/>
                <w:sz w:val="20"/>
              </w:rPr>
              <w:t>Outils d’analyse, BI, data mining.</w:t>
            </w:r>
          </w:p>
        </w:tc>
      </w:tr>
      <w:tr w:rsidR="00013B76" w:rsidRPr="00C74187" w14:paraId="6772E0CC" w14:textId="77777777" w:rsidTr="00C74187">
        <w:tc>
          <w:tcPr>
            <w:tcW w:w="0" w:type="auto"/>
            <w:hideMark/>
          </w:tcPr>
          <w:p w14:paraId="5812ED69" w14:textId="77777777" w:rsidR="00013B76" w:rsidRPr="00C74187" w:rsidRDefault="00013B76" w:rsidP="00C74187">
            <w:pPr>
              <w:jc w:val="left"/>
              <w:rPr>
                <w:rFonts w:ascii="Calibri" w:hAnsi="Calibri" w:cs="Calibri"/>
                <w:sz w:val="20"/>
              </w:rPr>
            </w:pPr>
            <w:r w:rsidRPr="00C74187">
              <w:rPr>
                <w:rFonts w:ascii="Calibri" w:hAnsi="Calibri" w:cs="Calibri"/>
                <w:b/>
                <w:bCs/>
                <w:sz w:val="20"/>
              </w:rPr>
              <w:lastRenderedPageBreak/>
              <w:t>Systèmes experts (ES)</w:t>
            </w:r>
          </w:p>
        </w:tc>
        <w:tc>
          <w:tcPr>
            <w:tcW w:w="0" w:type="auto"/>
            <w:hideMark/>
          </w:tcPr>
          <w:p w14:paraId="692AB1AE" w14:textId="77777777" w:rsidR="00636B8E" w:rsidRPr="00C74187" w:rsidRDefault="00000000" w:rsidP="00C74187">
            <w:pPr>
              <w:jc w:val="left"/>
              <w:rPr>
                <w:rFonts w:ascii="Calibri" w:hAnsi="Calibri" w:cs="Calibri"/>
                <w:sz w:val="20"/>
              </w:rPr>
            </w:pPr>
            <w:r w:rsidRPr="00C74187">
              <w:rPr>
                <w:rFonts w:ascii="Calibri" w:hAnsi="Calibri" w:cs="Calibri"/>
                <w:sz w:val="20"/>
              </w:rPr>
              <w:t>Représenter certains raisonnements ou produire des recommandations dans un domaine délimité, selon la technique utilisée.</w:t>
            </w:r>
          </w:p>
        </w:tc>
        <w:tc>
          <w:tcPr>
            <w:tcW w:w="0" w:type="auto"/>
            <w:hideMark/>
          </w:tcPr>
          <w:p w14:paraId="25EF4691" w14:textId="77777777" w:rsidR="00013B76" w:rsidRPr="00C74187" w:rsidRDefault="00013B76" w:rsidP="00C74187">
            <w:pPr>
              <w:jc w:val="left"/>
              <w:rPr>
                <w:rFonts w:ascii="Calibri" w:hAnsi="Calibri" w:cs="Calibri"/>
                <w:sz w:val="20"/>
              </w:rPr>
            </w:pPr>
            <w:r w:rsidRPr="00C74187">
              <w:rPr>
                <w:rFonts w:ascii="Calibri" w:hAnsi="Calibri" w:cs="Calibri"/>
                <w:sz w:val="20"/>
              </w:rPr>
              <w:t>IA, diagnostic médical, recommandation.</w:t>
            </w:r>
          </w:p>
        </w:tc>
      </w:tr>
      <w:tr w:rsidR="00013B76" w:rsidRPr="00C74187" w14:paraId="2701E46B" w14:textId="77777777" w:rsidTr="00C74187">
        <w:tc>
          <w:tcPr>
            <w:tcW w:w="0" w:type="auto"/>
            <w:hideMark/>
          </w:tcPr>
          <w:p w14:paraId="3D26CDD2" w14:textId="77777777" w:rsidR="00013B76" w:rsidRPr="00C74187" w:rsidRDefault="00013B76" w:rsidP="00C74187">
            <w:pPr>
              <w:jc w:val="left"/>
              <w:rPr>
                <w:rFonts w:ascii="Calibri" w:hAnsi="Calibri" w:cs="Calibri"/>
                <w:sz w:val="20"/>
              </w:rPr>
            </w:pPr>
            <w:r w:rsidRPr="00C74187">
              <w:rPr>
                <w:rFonts w:ascii="Calibri" w:hAnsi="Calibri" w:cs="Calibri"/>
                <w:b/>
                <w:bCs/>
                <w:sz w:val="20"/>
              </w:rPr>
              <w:t>Systèmes intégrés (ERP / PGI)</w:t>
            </w:r>
          </w:p>
        </w:tc>
        <w:tc>
          <w:tcPr>
            <w:tcW w:w="0" w:type="auto"/>
            <w:hideMark/>
          </w:tcPr>
          <w:p w14:paraId="14B2D7B8" w14:textId="77777777" w:rsidR="00013B76" w:rsidRPr="00C74187" w:rsidRDefault="00013B76" w:rsidP="00C74187">
            <w:pPr>
              <w:jc w:val="left"/>
              <w:rPr>
                <w:rFonts w:ascii="Calibri" w:hAnsi="Calibri" w:cs="Calibri"/>
                <w:sz w:val="20"/>
              </w:rPr>
            </w:pPr>
            <w:r w:rsidRPr="00C74187">
              <w:rPr>
                <w:rFonts w:ascii="Calibri" w:hAnsi="Calibri" w:cs="Calibri"/>
                <w:sz w:val="20"/>
              </w:rPr>
              <w:t>Centraliser les données de l’entreprise.</w:t>
            </w:r>
          </w:p>
        </w:tc>
        <w:tc>
          <w:tcPr>
            <w:tcW w:w="0" w:type="auto"/>
            <w:hideMark/>
          </w:tcPr>
          <w:p w14:paraId="2C0A6CEF" w14:textId="77777777" w:rsidR="00013B76" w:rsidRPr="00C74187" w:rsidRDefault="00013B76" w:rsidP="00C74187">
            <w:pPr>
              <w:jc w:val="left"/>
              <w:rPr>
                <w:rFonts w:ascii="Calibri" w:hAnsi="Calibri" w:cs="Calibri"/>
                <w:sz w:val="20"/>
              </w:rPr>
            </w:pPr>
            <w:r w:rsidRPr="00C74187">
              <w:rPr>
                <w:rFonts w:ascii="Calibri" w:hAnsi="Calibri" w:cs="Calibri"/>
                <w:sz w:val="20"/>
              </w:rPr>
              <w:t>SAP, Oracle, Divalto, Sage.</w:t>
            </w:r>
          </w:p>
        </w:tc>
      </w:tr>
    </w:tbl>
    <w:p w14:paraId="0EA49D50" w14:textId="77777777" w:rsidR="00013B76" w:rsidRPr="00013B76" w:rsidRDefault="00013B76" w:rsidP="00C74187">
      <w:pPr>
        <w:spacing w:after="0" w:line="240" w:lineRule="auto"/>
        <w:rPr>
          <w:b/>
          <w:bCs/>
        </w:rPr>
      </w:pPr>
      <w:r>
        <w:t>Représentation pédagogique classique (les usages réels peuvent se recouvrir)</w:t>
      </w:r>
    </w:p>
    <w:p w14:paraId="5C33C1A1" w14:textId="77777777" w:rsidR="00013B76" w:rsidRPr="00013B76" w:rsidRDefault="00013B76" w:rsidP="00C74187">
      <w:pPr>
        <w:spacing w:after="0" w:line="240" w:lineRule="auto"/>
      </w:pPr>
      <w:r w:rsidRPr="00013B76">
        <w:t>Direction (EIS / BI)</w:t>
      </w:r>
    </w:p>
    <w:p w14:paraId="489826D6" w14:textId="77777777" w:rsidR="00013B76" w:rsidRPr="00013B76" w:rsidRDefault="00013B76" w:rsidP="00C74187">
      <w:pPr>
        <w:spacing w:after="0" w:line="240" w:lineRule="auto"/>
      </w:pPr>
      <w:r w:rsidRPr="00013B76">
        <w:t>↑</w:t>
      </w:r>
    </w:p>
    <w:p w14:paraId="1016C86C" w14:textId="77777777" w:rsidR="00013B76" w:rsidRPr="00013B76" w:rsidRDefault="00013B76" w:rsidP="00C74187">
      <w:pPr>
        <w:spacing w:after="0" w:line="240" w:lineRule="auto"/>
      </w:pPr>
      <w:r w:rsidRPr="00013B76">
        <w:t>Managers (DSS / MIS)</w:t>
      </w:r>
    </w:p>
    <w:p w14:paraId="55138131" w14:textId="77777777" w:rsidR="00013B76" w:rsidRPr="00013B76" w:rsidRDefault="00013B76" w:rsidP="00C74187">
      <w:pPr>
        <w:spacing w:after="0" w:line="240" w:lineRule="auto"/>
      </w:pPr>
      <w:r w:rsidRPr="00013B76">
        <w:t>↑</w:t>
      </w:r>
    </w:p>
    <w:p w14:paraId="68502A36" w14:textId="77777777" w:rsidR="00013B76" w:rsidRPr="00013B76" w:rsidRDefault="00013B76" w:rsidP="00C74187">
      <w:pPr>
        <w:spacing w:after="0" w:line="240" w:lineRule="auto"/>
      </w:pPr>
      <w:r w:rsidRPr="00013B76">
        <w:t>Opérationnels (TPS)</w:t>
      </w:r>
    </w:p>
    <w:p w14:paraId="66704BA8" w14:textId="60F641A8" w:rsidR="00013B76" w:rsidRPr="00013B76" w:rsidRDefault="00013B76" w:rsidP="00C74187">
      <w:pPr>
        <w:spacing w:after="0" w:line="240" w:lineRule="auto"/>
      </w:pPr>
      <w:r>
        <w:t>Les catégories TPS, MIS, DSS et EIS sont des outils de classification historiques. Dans une organisation actuelle, un même ERP, outil de BI ou service cloud peut servir plusieurs niveaux de décision</w:t>
      </w:r>
      <w:r w:rsidR="00C74187">
        <w:t> ;</w:t>
      </w:r>
      <w:r>
        <w:t xml:space="preserve"> la pyramide ne décrit donc pas une architecture technique obligatoire.</w:t>
      </w:r>
    </w:p>
    <w:p w14:paraId="6A0CEF6B" w14:textId="77777777" w:rsidR="00013B76" w:rsidRPr="00013B76" w:rsidRDefault="00013B76" w:rsidP="00C74187">
      <w:pPr>
        <w:spacing w:after="0" w:line="240" w:lineRule="auto"/>
        <w:rPr>
          <w:b/>
          <w:bCs/>
        </w:rPr>
      </w:pPr>
      <w:r w:rsidRPr="00013B76">
        <w:rPr>
          <w:rFonts w:ascii="Segoe UI Emoji" w:hAnsi="Segoe UI Emoji" w:cs="Segoe UI Emoji"/>
          <w:b/>
          <w:bCs/>
        </w:rPr>
        <w:t>🧮</w:t>
      </w:r>
      <w:r w:rsidRPr="00013B76">
        <w:rPr>
          <w:b/>
          <w:bCs/>
        </w:rPr>
        <w:t xml:space="preserve"> 4. Gouvernance et urbanisation du SI</w:t>
      </w:r>
    </w:p>
    <w:p w14:paraId="0D49D662" w14:textId="77777777" w:rsidR="00013B76" w:rsidRPr="00013B76" w:rsidRDefault="00013B76" w:rsidP="00C74187">
      <w:pPr>
        <w:spacing w:after="0" w:line="240" w:lineRule="auto"/>
        <w:rPr>
          <w:b/>
          <w:bCs/>
        </w:rPr>
      </w:pPr>
      <w:r w:rsidRPr="00013B76">
        <w:rPr>
          <w:rFonts w:ascii="Segoe UI Emoji" w:hAnsi="Segoe UI Emoji" w:cs="Segoe UI Emoji"/>
          <w:b/>
          <w:bCs/>
        </w:rPr>
        <w:t>⚙️</w:t>
      </w:r>
      <w:r w:rsidRPr="00013B76">
        <w:rPr>
          <w:b/>
          <w:bCs/>
        </w:rPr>
        <w:t xml:space="preserve"> Gouvernance du SI</w:t>
      </w:r>
    </w:p>
    <w:p w14:paraId="64B22067" w14:textId="7E45C1EE" w:rsidR="00013B76" w:rsidRPr="00013B76" w:rsidRDefault="00013B76" w:rsidP="00C74187">
      <w:pPr>
        <w:spacing w:after="0" w:line="240" w:lineRule="auto"/>
      </w:pPr>
      <w:r w:rsidRPr="00013B76">
        <w:t xml:space="preserve">La </w:t>
      </w:r>
      <w:r w:rsidRPr="00013B76">
        <w:rPr>
          <w:b/>
          <w:bCs/>
        </w:rPr>
        <w:t>gouvernance du système d’information</w:t>
      </w:r>
      <w:r w:rsidRPr="00013B76">
        <w:t xml:space="preserve"> vise à garantir</w:t>
      </w:r>
      <w:r w:rsidR="00C74187">
        <w:t> :</w:t>
      </w:r>
    </w:p>
    <w:p w14:paraId="2091EF1B" w14:textId="0B32B3F2" w:rsidR="00013B76" w:rsidRPr="00013B76" w:rsidRDefault="00013B76" w:rsidP="00C74187">
      <w:pPr>
        <w:numPr>
          <w:ilvl w:val="0"/>
          <w:numId w:val="1"/>
        </w:numPr>
        <w:spacing w:after="0" w:line="240" w:lineRule="auto"/>
      </w:pPr>
      <w:r w:rsidRPr="00013B76">
        <w:t>l’</w:t>
      </w:r>
      <w:r w:rsidRPr="00013B76">
        <w:rPr>
          <w:b/>
          <w:bCs/>
        </w:rPr>
        <w:t>alignement stratégique</w:t>
      </w:r>
      <w:r w:rsidRPr="00013B76">
        <w:t xml:space="preserve"> du SI sur les objectifs de l’organisation</w:t>
      </w:r>
      <w:r w:rsidR="00C74187">
        <w:t> ;</w:t>
      </w:r>
    </w:p>
    <w:p w14:paraId="198E9090" w14:textId="07B0068E" w:rsidR="00013B76" w:rsidRPr="00013B76" w:rsidRDefault="00013B76" w:rsidP="00C74187">
      <w:pPr>
        <w:numPr>
          <w:ilvl w:val="0"/>
          <w:numId w:val="1"/>
        </w:numPr>
        <w:spacing w:after="0" w:line="240" w:lineRule="auto"/>
      </w:pPr>
      <w:r w:rsidRPr="00013B76">
        <w:t xml:space="preserve">la </w:t>
      </w:r>
      <w:r w:rsidRPr="00013B76">
        <w:rPr>
          <w:b/>
          <w:bCs/>
        </w:rPr>
        <w:t>maîtrise des coûts et des risques</w:t>
      </w:r>
      <w:r w:rsidR="00C74187">
        <w:t> ;</w:t>
      </w:r>
    </w:p>
    <w:p w14:paraId="0D4CAF2B" w14:textId="77777777" w:rsidR="00013B76" w:rsidRPr="00013B76" w:rsidRDefault="00013B76" w:rsidP="00C74187">
      <w:pPr>
        <w:numPr>
          <w:ilvl w:val="0"/>
          <w:numId w:val="1"/>
        </w:numPr>
        <w:spacing w:after="0" w:line="240" w:lineRule="auto"/>
      </w:pPr>
      <w:r w:rsidRPr="00013B76">
        <w:t xml:space="preserve">et la </w:t>
      </w:r>
      <w:r w:rsidRPr="00013B76">
        <w:rPr>
          <w:b/>
          <w:bCs/>
        </w:rPr>
        <w:t>création de valeur</w:t>
      </w:r>
      <w:r w:rsidRPr="00013B76">
        <w:t xml:space="preserve"> à travers la transformation numérique.</w:t>
      </w:r>
    </w:p>
    <w:tbl>
      <w:tblPr>
        <w:tblStyle w:val="Grilledutableau"/>
        <w:tblW w:w="0" w:type="auto"/>
        <w:tblLook w:val="04A0" w:firstRow="1" w:lastRow="0" w:firstColumn="1" w:lastColumn="0" w:noHBand="0" w:noVBand="1"/>
      </w:tblPr>
      <w:tblGrid>
        <w:gridCol w:w="1128"/>
        <w:gridCol w:w="4332"/>
        <w:gridCol w:w="4996"/>
      </w:tblGrid>
      <w:tr w:rsidR="00013B76" w:rsidRPr="00C74187" w14:paraId="2F34FBBD" w14:textId="77777777" w:rsidTr="00C74187">
        <w:trPr>
          <w:tblHeader/>
        </w:trPr>
        <w:tc>
          <w:tcPr>
            <w:tcW w:w="0" w:type="auto"/>
            <w:hideMark/>
          </w:tcPr>
          <w:p w14:paraId="51E8C9B4" w14:textId="77777777" w:rsidR="00013B76" w:rsidRPr="00C74187" w:rsidRDefault="00013B76" w:rsidP="00C74187">
            <w:pPr>
              <w:jc w:val="left"/>
              <w:rPr>
                <w:rFonts w:ascii="Calibri" w:hAnsi="Calibri" w:cs="Calibri"/>
                <w:b/>
                <w:bCs/>
                <w:sz w:val="20"/>
              </w:rPr>
            </w:pPr>
            <w:r w:rsidRPr="00C74187">
              <w:rPr>
                <w:rFonts w:ascii="Calibri" w:hAnsi="Calibri" w:cs="Calibri"/>
                <w:b/>
                <w:bCs/>
                <w:sz w:val="20"/>
              </w:rPr>
              <w:t>Référentiel</w:t>
            </w:r>
          </w:p>
        </w:tc>
        <w:tc>
          <w:tcPr>
            <w:tcW w:w="0" w:type="auto"/>
            <w:hideMark/>
          </w:tcPr>
          <w:p w14:paraId="6A8EEA5C" w14:textId="77777777" w:rsidR="00013B76" w:rsidRPr="00C74187" w:rsidRDefault="00013B76" w:rsidP="00C74187">
            <w:pPr>
              <w:jc w:val="left"/>
              <w:rPr>
                <w:rFonts w:ascii="Calibri" w:hAnsi="Calibri" w:cs="Calibri"/>
                <w:b/>
                <w:bCs/>
                <w:sz w:val="20"/>
              </w:rPr>
            </w:pPr>
            <w:r w:rsidRPr="00C74187">
              <w:rPr>
                <w:rFonts w:ascii="Calibri" w:hAnsi="Calibri" w:cs="Calibri"/>
                <w:b/>
                <w:bCs/>
                <w:sz w:val="20"/>
              </w:rPr>
              <w:t>Objectif</w:t>
            </w:r>
          </w:p>
        </w:tc>
        <w:tc>
          <w:tcPr>
            <w:tcW w:w="0" w:type="auto"/>
            <w:hideMark/>
          </w:tcPr>
          <w:p w14:paraId="07C1C1D0" w14:textId="77777777" w:rsidR="00013B76" w:rsidRPr="00C74187" w:rsidRDefault="00013B76" w:rsidP="00C74187">
            <w:pPr>
              <w:jc w:val="left"/>
              <w:rPr>
                <w:rFonts w:ascii="Calibri" w:hAnsi="Calibri" w:cs="Calibri"/>
                <w:b/>
                <w:bCs/>
                <w:sz w:val="20"/>
              </w:rPr>
            </w:pPr>
            <w:r w:rsidRPr="00C74187">
              <w:rPr>
                <w:rFonts w:ascii="Calibri" w:hAnsi="Calibri" w:cs="Calibri"/>
                <w:b/>
                <w:bCs/>
                <w:sz w:val="20"/>
              </w:rPr>
              <w:t>Utilisation</w:t>
            </w:r>
          </w:p>
        </w:tc>
      </w:tr>
      <w:tr w:rsidR="00013B76" w:rsidRPr="00C74187" w14:paraId="57BABB63" w14:textId="77777777" w:rsidTr="00C74187">
        <w:tc>
          <w:tcPr>
            <w:tcW w:w="0" w:type="auto"/>
            <w:hideMark/>
          </w:tcPr>
          <w:p w14:paraId="1EAA5DD3" w14:textId="77777777" w:rsidR="00013B76" w:rsidRPr="00C74187" w:rsidRDefault="00013B76" w:rsidP="00C74187">
            <w:pPr>
              <w:jc w:val="left"/>
              <w:rPr>
                <w:rFonts w:ascii="Calibri" w:hAnsi="Calibri" w:cs="Calibri"/>
                <w:sz w:val="20"/>
              </w:rPr>
            </w:pPr>
            <w:r w:rsidRPr="00C74187">
              <w:rPr>
                <w:rFonts w:ascii="Calibri" w:hAnsi="Calibri" w:cs="Calibri"/>
                <w:b/>
                <w:bCs/>
                <w:sz w:val="20"/>
              </w:rPr>
              <w:t>COBIT</w:t>
            </w:r>
          </w:p>
        </w:tc>
        <w:tc>
          <w:tcPr>
            <w:tcW w:w="0" w:type="auto"/>
            <w:hideMark/>
          </w:tcPr>
          <w:p w14:paraId="08DE2B2B" w14:textId="77777777" w:rsidR="00013B76" w:rsidRPr="00C74187" w:rsidRDefault="00013B76" w:rsidP="00C74187">
            <w:pPr>
              <w:jc w:val="left"/>
              <w:rPr>
                <w:rFonts w:ascii="Calibri" w:hAnsi="Calibri" w:cs="Calibri"/>
                <w:sz w:val="20"/>
              </w:rPr>
            </w:pPr>
            <w:r w:rsidRPr="00C74187">
              <w:rPr>
                <w:rFonts w:ascii="Calibri" w:hAnsi="Calibri" w:cs="Calibri"/>
                <w:sz w:val="20"/>
              </w:rPr>
              <w:t>Gouvernance et contrôle du SI</w:t>
            </w:r>
          </w:p>
        </w:tc>
        <w:tc>
          <w:tcPr>
            <w:tcW w:w="0" w:type="auto"/>
            <w:hideMark/>
          </w:tcPr>
          <w:p w14:paraId="4E2AB6FC" w14:textId="77777777" w:rsidR="00013B76" w:rsidRPr="00C74187" w:rsidRDefault="00013B76" w:rsidP="00C74187">
            <w:pPr>
              <w:jc w:val="left"/>
              <w:rPr>
                <w:rFonts w:ascii="Calibri" w:hAnsi="Calibri" w:cs="Calibri"/>
                <w:sz w:val="20"/>
              </w:rPr>
            </w:pPr>
            <w:r w:rsidRPr="00C74187">
              <w:rPr>
                <w:rFonts w:ascii="Calibri" w:hAnsi="Calibri" w:cs="Calibri"/>
                <w:sz w:val="20"/>
              </w:rPr>
              <w:t>Audit, conformité, performance.</w:t>
            </w:r>
          </w:p>
        </w:tc>
      </w:tr>
      <w:tr w:rsidR="00013B76" w:rsidRPr="00C74187" w14:paraId="470C1F86" w14:textId="77777777" w:rsidTr="00C74187">
        <w:tc>
          <w:tcPr>
            <w:tcW w:w="0" w:type="auto"/>
            <w:hideMark/>
          </w:tcPr>
          <w:p w14:paraId="31B396A3" w14:textId="77777777" w:rsidR="00013B76" w:rsidRPr="00C74187" w:rsidRDefault="00013B76" w:rsidP="00C74187">
            <w:pPr>
              <w:jc w:val="left"/>
              <w:rPr>
                <w:rFonts w:ascii="Calibri" w:hAnsi="Calibri" w:cs="Calibri"/>
                <w:sz w:val="20"/>
              </w:rPr>
            </w:pPr>
            <w:r w:rsidRPr="00C74187">
              <w:rPr>
                <w:rFonts w:ascii="Calibri" w:hAnsi="Calibri" w:cs="Calibri"/>
                <w:b/>
                <w:bCs/>
                <w:sz w:val="20"/>
              </w:rPr>
              <w:t>ITIL</w:t>
            </w:r>
          </w:p>
        </w:tc>
        <w:tc>
          <w:tcPr>
            <w:tcW w:w="0" w:type="auto"/>
            <w:hideMark/>
          </w:tcPr>
          <w:p w14:paraId="51A6C49B" w14:textId="77777777" w:rsidR="00013B76" w:rsidRPr="00C74187" w:rsidRDefault="00013B76" w:rsidP="00C74187">
            <w:pPr>
              <w:jc w:val="left"/>
              <w:rPr>
                <w:rFonts w:ascii="Calibri" w:hAnsi="Calibri" w:cs="Calibri"/>
                <w:sz w:val="20"/>
              </w:rPr>
            </w:pPr>
            <w:r w:rsidRPr="00C74187">
              <w:rPr>
                <w:rFonts w:ascii="Calibri" w:hAnsi="Calibri" w:cs="Calibri"/>
                <w:sz w:val="20"/>
              </w:rPr>
              <w:t>Gestion des services IT</w:t>
            </w:r>
          </w:p>
        </w:tc>
        <w:tc>
          <w:tcPr>
            <w:tcW w:w="0" w:type="auto"/>
            <w:hideMark/>
          </w:tcPr>
          <w:p w14:paraId="05D13C8A" w14:textId="77777777" w:rsidR="00013B76" w:rsidRPr="00C74187" w:rsidRDefault="00013B76" w:rsidP="00C74187">
            <w:pPr>
              <w:jc w:val="left"/>
              <w:rPr>
                <w:rFonts w:ascii="Calibri" w:hAnsi="Calibri" w:cs="Calibri"/>
                <w:sz w:val="20"/>
              </w:rPr>
            </w:pPr>
            <w:r w:rsidRPr="00C74187">
              <w:rPr>
                <w:rFonts w:ascii="Calibri" w:hAnsi="Calibri" w:cs="Calibri"/>
                <w:sz w:val="20"/>
              </w:rPr>
              <w:t>Support, incidents, exploitation.</w:t>
            </w:r>
          </w:p>
        </w:tc>
      </w:tr>
      <w:tr w:rsidR="00013B76" w:rsidRPr="00C74187" w14:paraId="4B0125B0" w14:textId="77777777" w:rsidTr="00C74187">
        <w:tc>
          <w:tcPr>
            <w:tcW w:w="0" w:type="auto"/>
            <w:hideMark/>
          </w:tcPr>
          <w:p w14:paraId="372223A8" w14:textId="77777777" w:rsidR="00013B76" w:rsidRPr="00C74187" w:rsidRDefault="00013B76" w:rsidP="00C74187">
            <w:pPr>
              <w:jc w:val="left"/>
              <w:rPr>
                <w:rFonts w:ascii="Calibri" w:hAnsi="Calibri" w:cs="Calibri"/>
                <w:sz w:val="20"/>
              </w:rPr>
            </w:pPr>
            <w:r w:rsidRPr="00C74187">
              <w:rPr>
                <w:rFonts w:ascii="Calibri" w:hAnsi="Calibri" w:cs="Calibri"/>
                <w:b/>
                <w:bCs/>
                <w:sz w:val="20"/>
              </w:rPr>
              <w:t>ISO 27001</w:t>
            </w:r>
          </w:p>
        </w:tc>
        <w:tc>
          <w:tcPr>
            <w:tcW w:w="0" w:type="auto"/>
            <w:hideMark/>
          </w:tcPr>
          <w:p w14:paraId="33BEC4EA" w14:textId="77777777" w:rsidR="00636B8E" w:rsidRPr="00C74187" w:rsidRDefault="00000000" w:rsidP="00C74187">
            <w:pPr>
              <w:jc w:val="left"/>
              <w:rPr>
                <w:rFonts w:ascii="Calibri" w:hAnsi="Calibri" w:cs="Calibri"/>
                <w:sz w:val="20"/>
              </w:rPr>
            </w:pPr>
            <w:r w:rsidRPr="00C74187">
              <w:rPr>
                <w:rFonts w:ascii="Calibri" w:hAnsi="Calibri" w:cs="Calibri"/>
                <w:sz w:val="20"/>
              </w:rPr>
              <w:t>Management de la sécurité de l’information (SMSI) et gestion des risques.</w:t>
            </w:r>
          </w:p>
        </w:tc>
        <w:tc>
          <w:tcPr>
            <w:tcW w:w="0" w:type="auto"/>
            <w:hideMark/>
          </w:tcPr>
          <w:p w14:paraId="38951987" w14:textId="77777777" w:rsidR="00636B8E" w:rsidRPr="00C74187" w:rsidRDefault="00000000" w:rsidP="00C74187">
            <w:pPr>
              <w:jc w:val="left"/>
              <w:rPr>
                <w:rFonts w:ascii="Calibri" w:hAnsi="Calibri" w:cs="Calibri"/>
                <w:sz w:val="20"/>
              </w:rPr>
            </w:pPr>
            <w:r w:rsidRPr="00C74187">
              <w:rPr>
                <w:rFonts w:ascii="Calibri" w:hAnsi="Calibri" w:cs="Calibri"/>
                <w:sz w:val="20"/>
              </w:rPr>
              <w:t>Exigences applicables à un SMSI (ISO/IEC 27001:2022), et non définition générale du SI.</w:t>
            </w:r>
          </w:p>
        </w:tc>
      </w:tr>
      <w:tr w:rsidR="00013B76" w:rsidRPr="00C74187" w14:paraId="3E32518B" w14:textId="77777777" w:rsidTr="00C74187">
        <w:tc>
          <w:tcPr>
            <w:tcW w:w="0" w:type="auto"/>
            <w:hideMark/>
          </w:tcPr>
          <w:p w14:paraId="060F9C05" w14:textId="77777777" w:rsidR="00013B76" w:rsidRPr="00C74187" w:rsidRDefault="00013B76" w:rsidP="00C74187">
            <w:pPr>
              <w:jc w:val="left"/>
              <w:rPr>
                <w:rFonts w:ascii="Calibri" w:hAnsi="Calibri" w:cs="Calibri"/>
                <w:sz w:val="20"/>
              </w:rPr>
            </w:pPr>
            <w:r w:rsidRPr="00C74187">
              <w:rPr>
                <w:rFonts w:ascii="Calibri" w:hAnsi="Calibri" w:cs="Calibri"/>
                <w:b/>
                <w:bCs/>
                <w:sz w:val="20"/>
              </w:rPr>
              <w:t>TOGAF</w:t>
            </w:r>
          </w:p>
        </w:tc>
        <w:tc>
          <w:tcPr>
            <w:tcW w:w="0" w:type="auto"/>
            <w:hideMark/>
          </w:tcPr>
          <w:p w14:paraId="1FE11F72" w14:textId="77777777" w:rsidR="00013B76" w:rsidRPr="00C74187" w:rsidRDefault="00013B76" w:rsidP="00C74187">
            <w:pPr>
              <w:jc w:val="left"/>
              <w:rPr>
                <w:rFonts w:ascii="Calibri" w:hAnsi="Calibri" w:cs="Calibri"/>
                <w:sz w:val="20"/>
              </w:rPr>
            </w:pPr>
            <w:r w:rsidRPr="00C74187">
              <w:rPr>
                <w:rFonts w:ascii="Calibri" w:hAnsi="Calibri" w:cs="Calibri"/>
                <w:sz w:val="20"/>
              </w:rPr>
              <w:t>Urbanisation et architecture d’entreprise</w:t>
            </w:r>
          </w:p>
        </w:tc>
        <w:tc>
          <w:tcPr>
            <w:tcW w:w="0" w:type="auto"/>
            <w:hideMark/>
          </w:tcPr>
          <w:p w14:paraId="1A8011A9" w14:textId="77777777" w:rsidR="00013B76" w:rsidRPr="00C74187" w:rsidRDefault="00013B76" w:rsidP="00C74187">
            <w:pPr>
              <w:jc w:val="left"/>
              <w:rPr>
                <w:rFonts w:ascii="Calibri" w:hAnsi="Calibri" w:cs="Calibri"/>
                <w:sz w:val="20"/>
              </w:rPr>
            </w:pPr>
            <w:r w:rsidRPr="00C74187">
              <w:rPr>
                <w:rFonts w:ascii="Calibri" w:hAnsi="Calibri" w:cs="Calibri"/>
                <w:sz w:val="20"/>
              </w:rPr>
              <w:t>Cohérence du SI et alignement stratégique.</w:t>
            </w:r>
          </w:p>
        </w:tc>
      </w:tr>
    </w:tbl>
    <w:p w14:paraId="2B6F1079" w14:textId="783DE8A3" w:rsidR="00013B76" w:rsidRPr="00013B76" w:rsidRDefault="00013B76" w:rsidP="00C74187">
      <w:pPr>
        <w:spacing w:after="0" w:line="240" w:lineRule="auto"/>
      </w:pPr>
      <w:r>
        <w:t>Le dialogue entre responsables métiers (MOA, définition et validation des besoins) et responsables de réalisation (MOE) facilite l’alignement des projets</w:t>
      </w:r>
      <w:r w:rsidR="00C74187">
        <w:t> ;</w:t>
      </w:r>
      <w:r>
        <w:t xml:space="preserve"> la direction reste chargée des principaux arbitrages.</w:t>
      </w:r>
    </w:p>
    <w:p w14:paraId="14878741" w14:textId="77777777" w:rsidR="00013B76" w:rsidRPr="00013B76" w:rsidRDefault="00013B76" w:rsidP="00C74187">
      <w:pPr>
        <w:spacing w:after="0" w:line="240" w:lineRule="auto"/>
        <w:rPr>
          <w:b/>
          <w:bCs/>
        </w:rPr>
      </w:pPr>
      <w:r w:rsidRPr="00013B76">
        <w:rPr>
          <w:rFonts w:ascii="Segoe UI Emoji" w:hAnsi="Segoe UI Emoji" w:cs="Segoe UI Emoji"/>
          <w:b/>
          <w:bCs/>
        </w:rPr>
        <w:t>🧭</w:t>
      </w:r>
      <w:r w:rsidRPr="00013B76">
        <w:rPr>
          <w:b/>
          <w:bCs/>
        </w:rPr>
        <w:t xml:space="preserve"> Urbanisation du SI</w:t>
      </w:r>
    </w:p>
    <w:p w14:paraId="2E5C86E1" w14:textId="5599F5CD" w:rsidR="00013B76" w:rsidRPr="00013B76" w:rsidRDefault="00013B76" w:rsidP="00C74187">
      <w:pPr>
        <w:spacing w:after="0" w:line="240" w:lineRule="auto"/>
      </w:pPr>
      <w:r w:rsidRPr="00013B76">
        <w:t>L’</w:t>
      </w:r>
      <w:r w:rsidRPr="00013B76">
        <w:rPr>
          <w:b/>
          <w:bCs/>
        </w:rPr>
        <w:t>urbanisation</w:t>
      </w:r>
      <w:r w:rsidRPr="00013B76">
        <w:t xml:space="preserve"> consiste à concevoir un SI modulaire et évolutif, inspiré du modèle d’une </w:t>
      </w:r>
      <w:r w:rsidRPr="00013B76">
        <w:rPr>
          <w:b/>
          <w:bCs/>
        </w:rPr>
        <w:t>ville numérique</w:t>
      </w:r>
      <w:r w:rsidR="00C74187">
        <w:t> :</w:t>
      </w:r>
    </w:p>
    <w:p w14:paraId="2EAF3D68" w14:textId="3B4515EE" w:rsidR="00013B76" w:rsidRPr="00013B76" w:rsidRDefault="00013B76" w:rsidP="00C74187">
      <w:pPr>
        <w:numPr>
          <w:ilvl w:val="0"/>
          <w:numId w:val="2"/>
        </w:numPr>
        <w:spacing w:after="0" w:line="240" w:lineRule="auto"/>
      </w:pPr>
      <w:r w:rsidRPr="00013B76">
        <w:t>chaque “quartier” correspond à un domaine fonctionnel (RH, finance, production, etc.)</w:t>
      </w:r>
      <w:r w:rsidR="00C74187">
        <w:t> ;</w:t>
      </w:r>
    </w:p>
    <w:p w14:paraId="13D38631" w14:textId="77777777" w:rsidR="00013B76" w:rsidRPr="00013B76" w:rsidRDefault="00013B76" w:rsidP="00C74187">
      <w:pPr>
        <w:numPr>
          <w:ilvl w:val="0"/>
          <w:numId w:val="2"/>
        </w:numPr>
        <w:spacing w:after="0" w:line="240" w:lineRule="auto"/>
      </w:pPr>
      <w:r w:rsidRPr="00013B76">
        <w:t>les “routes” représentent les interfaces et les flux d’échange (API, ESB).</w:t>
      </w:r>
    </w:p>
    <w:p w14:paraId="34CFBD40" w14:textId="1D4F8ABE" w:rsidR="00013B76" w:rsidRPr="00013B76" w:rsidRDefault="00013B76" w:rsidP="00C74187">
      <w:pPr>
        <w:spacing w:after="0" w:line="240" w:lineRule="auto"/>
      </w:pPr>
      <w:r w:rsidRPr="00013B76">
        <w:rPr>
          <w:rFonts w:ascii="Segoe UI Emoji" w:hAnsi="Segoe UI Emoji" w:cs="Segoe UI Emoji"/>
        </w:rPr>
        <w:t>🎯</w:t>
      </w:r>
      <w:r w:rsidRPr="00013B76">
        <w:t xml:space="preserve"> But</w:t>
      </w:r>
      <w:r w:rsidR="00C74187">
        <w:t> :</w:t>
      </w:r>
      <w:r w:rsidRPr="00013B76">
        <w:t xml:space="preserve"> rendre le SI </w:t>
      </w:r>
      <w:r w:rsidRPr="00013B76">
        <w:rPr>
          <w:b/>
          <w:bCs/>
        </w:rPr>
        <w:t>lisible, interopérable et adaptable</w:t>
      </w:r>
      <w:r w:rsidRPr="00013B76">
        <w:t xml:space="preserve"> aux évolutions futures.</w:t>
      </w:r>
    </w:p>
    <w:p w14:paraId="1C435CD4" w14:textId="4CE03D66" w:rsidR="000F7B00" w:rsidRPr="000F7B00" w:rsidRDefault="000F7B00" w:rsidP="00C74187">
      <w:pPr>
        <w:spacing w:after="0" w:line="240" w:lineRule="auto"/>
        <w:rPr>
          <w:b/>
          <w:bCs/>
        </w:rPr>
      </w:pPr>
      <w:r w:rsidRPr="000F7B00">
        <w:rPr>
          <w:rFonts w:ascii="Segoe UI Emoji" w:hAnsi="Segoe UI Emoji" w:cs="Segoe UI Emoji"/>
          <w:b/>
          <w:bCs/>
        </w:rPr>
        <w:t>⚙️</w:t>
      </w:r>
      <w:r w:rsidRPr="000F7B00">
        <w:rPr>
          <w:b/>
          <w:bCs/>
        </w:rPr>
        <w:t xml:space="preserve"> 5. Évolution du SI</w:t>
      </w:r>
      <w:r w:rsidR="00C74187">
        <w:rPr>
          <w:b/>
          <w:bCs/>
        </w:rPr>
        <w:t> :</w:t>
      </w:r>
      <w:r w:rsidRPr="000F7B00">
        <w:rPr>
          <w:b/>
          <w:bCs/>
        </w:rPr>
        <w:t xml:space="preserve"> du SINA au SIA</w:t>
      </w:r>
    </w:p>
    <w:p w14:paraId="5F4CECBB" w14:textId="77777777" w:rsidR="000F7B00" w:rsidRPr="000F7B00" w:rsidRDefault="000F7B00" w:rsidP="00C74187">
      <w:pPr>
        <w:spacing w:after="0" w:line="240" w:lineRule="auto"/>
        <w:rPr>
          <w:b/>
          <w:bCs/>
        </w:rPr>
      </w:pPr>
      <w:r>
        <w:t>Précaution terminologique</w:t>
      </w:r>
    </w:p>
    <w:tbl>
      <w:tblPr>
        <w:tblStyle w:val="Grilledutableau"/>
        <w:tblW w:w="0" w:type="auto"/>
        <w:tblLook w:val="04A0" w:firstRow="1" w:lastRow="0" w:firstColumn="1" w:lastColumn="0" w:noHBand="0" w:noVBand="1"/>
      </w:tblPr>
      <w:tblGrid>
        <w:gridCol w:w="617"/>
        <w:gridCol w:w="2061"/>
        <w:gridCol w:w="4603"/>
        <w:gridCol w:w="3175"/>
      </w:tblGrid>
      <w:tr w:rsidR="000F7B00" w:rsidRPr="00C74187" w14:paraId="76ECC56F" w14:textId="77777777" w:rsidTr="00C74187">
        <w:trPr>
          <w:tblHeader/>
        </w:trPr>
        <w:tc>
          <w:tcPr>
            <w:tcW w:w="0" w:type="auto"/>
            <w:hideMark/>
          </w:tcPr>
          <w:p w14:paraId="2522B939" w14:textId="77777777" w:rsidR="000F7B00" w:rsidRPr="00C74187" w:rsidRDefault="000F7B00" w:rsidP="00C74187">
            <w:pPr>
              <w:jc w:val="left"/>
              <w:rPr>
                <w:rFonts w:ascii="Calibri" w:hAnsi="Calibri" w:cs="Calibri"/>
                <w:b/>
                <w:bCs/>
                <w:sz w:val="20"/>
              </w:rPr>
            </w:pPr>
            <w:r w:rsidRPr="00C74187">
              <w:rPr>
                <w:rFonts w:ascii="Calibri" w:hAnsi="Calibri" w:cs="Calibri"/>
                <w:b/>
                <w:bCs/>
                <w:sz w:val="20"/>
              </w:rPr>
              <w:t>Sigle</w:t>
            </w:r>
          </w:p>
        </w:tc>
        <w:tc>
          <w:tcPr>
            <w:tcW w:w="0" w:type="auto"/>
            <w:hideMark/>
          </w:tcPr>
          <w:p w14:paraId="402879C7" w14:textId="77777777" w:rsidR="000F7B00" w:rsidRPr="00C74187" w:rsidRDefault="000F7B00" w:rsidP="00C74187">
            <w:pPr>
              <w:jc w:val="left"/>
              <w:rPr>
                <w:rFonts w:ascii="Calibri" w:hAnsi="Calibri" w:cs="Calibri"/>
                <w:b/>
                <w:bCs/>
                <w:sz w:val="20"/>
              </w:rPr>
            </w:pPr>
            <w:r w:rsidRPr="00C74187">
              <w:rPr>
                <w:rFonts w:ascii="Calibri" w:hAnsi="Calibri" w:cs="Calibri"/>
                <w:b/>
                <w:bCs/>
                <w:sz w:val="20"/>
              </w:rPr>
              <w:t>Signification</w:t>
            </w:r>
          </w:p>
        </w:tc>
        <w:tc>
          <w:tcPr>
            <w:tcW w:w="0" w:type="auto"/>
            <w:hideMark/>
          </w:tcPr>
          <w:p w14:paraId="6BD4985D" w14:textId="77777777" w:rsidR="000F7B00" w:rsidRPr="00C74187" w:rsidRDefault="000F7B00" w:rsidP="00C74187">
            <w:pPr>
              <w:jc w:val="left"/>
              <w:rPr>
                <w:rFonts w:ascii="Calibri" w:hAnsi="Calibri" w:cs="Calibri"/>
                <w:b/>
                <w:bCs/>
                <w:sz w:val="20"/>
              </w:rPr>
            </w:pPr>
            <w:r w:rsidRPr="00C74187">
              <w:rPr>
                <w:rFonts w:ascii="Calibri" w:hAnsi="Calibri" w:cs="Calibri"/>
                <w:b/>
                <w:bCs/>
                <w:sz w:val="20"/>
              </w:rPr>
              <w:t>Description</w:t>
            </w:r>
          </w:p>
        </w:tc>
        <w:tc>
          <w:tcPr>
            <w:tcW w:w="0" w:type="auto"/>
            <w:hideMark/>
          </w:tcPr>
          <w:p w14:paraId="55E61627" w14:textId="77777777" w:rsidR="000F7B00" w:rsidRPr="00C74187" w:rsidRDefault="000F7B00" w:rsidP="00C74187">
            <w:pPr>
              <w:jc w:val="left"/>
              <w:rPr>
                <w:rFonts w:ascii="Calibri" w:hAnsi="Calibri" w:cs="Calibri"/>
                <w:b/>
                <w:bCs/>
                <w:sz w:val="20"/>
              </w:rPr>
            </w:pPr>
            <w:r w:rsidRPr="00C74187">
              <w:rPr>
                <w:rFonts w:ascii="Calibri" w:hAnsi="Calibri" w:cs="Calibri"/>
                <w:b/>
                <w:bCs/>
                <w:sz w:val="20"/>
              </w:rPr>
              <w:t>Objectif principal</w:t>
            </w:r>
          </w:p>
        </w:tc>
      </w:tr>
      <w:tr w:rsidR="000F7B00" w:rsidRPr="00C74187" w14:paraId="3B9D9F11" w14:textId="77777777" w:rsidTr="00C74187">
        <w:tc>
          <w:tcPr>
            <w:tcW w:w="0" w:type="auto"/>
            <w:hideMark/>
          </w:tcPr>
          <w:p w14:paraId="745F2969" w14:textId="77777777" w:rsidR="000F7B00" w:rsidRPr="00C74187" w:rsidRDefault="000F7B00" w:rsidP="00C74187">
            <w:pPr>
              <w:jc w:val="left"/>
              <w:rPr>
                <w:rFonts w:ascii="Calibri" w:hAnsi="Calibri" w:cs="Calibri"/>
                <w:sz w:val="20"/>
              </w:rPr>
            </w:pPr>
            <w:r w:rsidRPr="00C74187">
              <w:rPr>
                <w:rFonts w:ascii="Calibri" w:hAnsi="Calibri" w:cs="Calibri"/>
                <w:b/>
                <w:bCs/>
                <w:sz w:val="20"/>
              </w:rPr>
              <w:t>SINA</w:t>
            </w:r>
          </w:p>
        </w:tc>
        <w:tc>
          <w:tcPr>
            <w:tcW w:w="0" w:type="auto"/>
            <w:hideMark/>
          </w:tcPr>
          <w:p w14:paraId="01C4852E" w14:textId="77777777" w:rsidR="000F7B00" w:rsidRPr="00C74187" w:rsidRDefault="000F7B00" w:rsidP="00C74187">
            <w:pPr>
              <w:jc w:val="left"/>
              <w:rPr>
                <w:rFonts w:ascii="Calibri" w:hAnsi="Calibri" w:cs="Calibri"/>
                <w:sz w:val="20"/>
              </w:rPr>
            </w:pPr>
            <w:r w:rsidRPr="00C74187">
              <w:rPr>
                <w:rFonts w:ascii="Calibri" w:hAnsi="Calibri" w:cs="Calibri"/>
                <w:i/>
                <w:iCs/>
                <w:sz w:val="20"/>
              </w:rPr>
              <w:t>Système d’Information Non Automatisé</w:t>
            </w:r>
          </w:p>
        </w:tc>
        <w:tc>
          <w:tcPr>
            <w:tcW w:w="0" w:type="auto"/>
            <w:hideMark/>
          </w:tcPr>
          <w:p w14:paraId="6B35D5B4" w14:textId="77777777" w:rsidR="000F7B00" w:rsidRPr="00C74187" w:rsidRDefault="000F7B00" w:rsidP="00C74187">
            <w:pPr>
              <w:jc w:val="left"/>
              <w:rPr>
                <w:rFonts w:ascii="Calibri" w:hAnsi="Calibri" w:cs="Calibri"/>
                <w:sz w:val="20"/>
              </w:rPr>
            </w:pPr>
            <w:r w:rsidRPr="00C74187">
              <w:rPr>
                <w:rFonts w:ascii="Calibri" w:hAnsi="Calibri" w:cs="Calibri"/>
                <w:sz w:val="20"/>
              </w:rPr>
              <w:t>Traitement manuel ou partiellement mécanisé de l’information. Le SI repose sur des tâches humaines et des outils non intégrés.</w:t>
            </w:r>
          </w:p>
        </w:tc>
        <w:tc>
          <w:tcPr>
            <w:tcW w:w="0" w:type="auto"/>
            <w:hideMark/>
          </w:tcPr>
          <w:p w14:paraId="0B5449BD" w14:textId="77777777" w:rsidR="000F7B00" w:rsidRPr="00C74187" w:rsidRDefault="000F7B00" w:rsidP="00C74187">
            <w:pPr>
              <w:jc w:val="left"/>
              <w:rPr>
                <w:rFonts w:ascii="Calibri" w:hAnsi="Calibri" w:cs="Calibri"/>
                <w:sz w:val="20"/>
              </w:rPr>
            </w:pPr>
            <w:r w:rsidRPr="00C74187">
              <w:rPr>
                <w:rFonts w:ascii="Calibri" w:hAnsi="Calibri" w:cs="Calibri"/>
                <w:sz w:val="20"/>
              </w:rPr>
              <w:t>Rendre l’information accessible et fiable sans automatisation.</w:t>
            </w:r>
          </w:p>
        </w:tc>
      </w:tr>
      <w:tr w:rsidR="000F7B00" w:rsidRPr="00C74187" w14:paraId="6F6EFD85" w14:textId="77777777" w:rsidTr="00C74187">
        <w:tc>
          <w:tcPr>
            <w:tcW w:w="0" w:type="auto"/>
            <w:hideMark/>
          </w:tcPr>
          <w:p w14:paraId="28EC2CFD" w14:textId="77777777" w:rsidR="000F7B00" w:rsidRPr="00C74187" w:rsidRDefault="000F7B00" w:rsidP="00C74187">
            <w:pPr>
              <w:jc w:val="left"/>
              <w:rPr>
                <w:rFonts w:ascii="Calibri" w:hAnsi="Calibri" w:cs="Calibri"/>
                <w:sz w:val="20"/>
              </w:rPr>
            </w:pPr>
            <w:r w:rsidRPr="00C74187">
              <w:rPr>
                <w:rFonts w:ascii="Calibri" w:hAnsi="Calibri" w:cs="Calibri"/>
                <w:b/>
                <w:bCs/>
                <w:sz w:val="20"/>
              </w:rPr>
              <w:t>SIA</w:t>
            </w:r>
          </w:p>
        </w:tc>
        <w:tc>
          <w:tcPr>
            <w:tcW w:w="0" w:type="auto"/>
            <w:hideMark/>
          </w:tcPr>
          <w:p w14:paraId="0786A946" w14:textId="77777777" w:rsidR="000F7B00" w:rsidRPr="00C74187" w:rsidRDefault="000F7B00" w:rsidP="00C74187">
            <w:pPr>
              <w:jc w:val="left"/>
              <w:rPr>
                <w:rFonts w:ascii="Calibri" w:hAnsi="Calibri" w:cs="Calibri"/>
                <w:sz w:val="20"/>
              </w:rPr>
            </w:pPr>
            <w:r w:rsidRPr="00C74187">
              <w:rPr>
                <w:rFonts w:ascii="Calibri" w:hAnsi="Calibri" w:cs="Calibri"/>
                <w:i/>
                <w:iCs/>
                <w:sz w:val="20"/>
              </w:rPr>
              <w:t>Système d’Information Automatisé</w:t>
            </w:r>
          </w:p>
        </w:tc>
        <w:tc>
          <w:tcPr>
            <w:tcW w:w="0" w:type="auto"/>
            <w:hideMark/>
          </w:tcPr>
          <w:p w14:paraId="5418A138" w14:textId="77777777" w:rsidR="000F7B00" w:rsidRPr="00C74187" w:rsidRDefault="000F7B00" w:rsidP="00C74187">
            <w:pPr>
              <w:jc w:val="left"/>
              <w:rPr>
                <w:rFonts w:ascii="Calibri" w:hAnsi="Calibri" w:cs="Calibri"/>
                <w:sz w:val="20"/>
              </w:rPr>
            </w:pPr>
            <w:r w:rsidRPr="00C74187">
              <w:rPr>
                <w:rFonts w:ascii="Calibri" w:hAnsi="Calibri" w:cs="Calibri"/>
                <w:sz w:val="20"/>
              </w:rPr>
              <w:t>Traitement automatisé et interconnecté de l’information par des logiciels, des serveurs et des flux numériques.</w:t>
            </w:r>
          </w:p>
        </w:tc>
        <w:tc>
          <w:tcPr>
            <w:tcW w:w="0" w:type="auto"/>
            <w:hideMark/>
          </w:tcPr>
          <w:p w14:paraId="4FEDC36D" w14:textId="77777777" w:rsidR="000F7B00" w:rsidRPr="00C74187" w:rsidRDefault="000F7B00" w:rsidP="00C74187">
            <w:pPr>
              <w:jc w:val="left"/>
              <w:rPr>
                <w:rFonts w:ascii="Calibri" w:hAnsi="Calibri" w:cs="Calibri"/>
                <w:sz w:val="20"/>
              </w:rPr>
            </w:pPr>
            <w:r w:rsidRPr="00C74187">
              <w:rPr>
                <w:rFonts w:ascii="Calibri" w:hAnsi="Calibri" w:cs="Calibri"/>
                <w:sz w:val="20"/>
              </w:rPr>
              <w:t>Rationaliser, accélérer et fiabiliser les processus grâce à l’automatisation.</w:t>
            </w:r>
          </w:p>
        </w:tc>
      </w:tr>
    </w:tbl>
    <w:p w14:paraId="1000B7C1" w14:textId="2C0C4C7A" w:rsidR="000F7B00" w:rsidRDefault="000F7B00" w:rsidP="00C74187">
      <w:pPr>
        <w:spacing w:after="0" w:line="240" w:lineRule="auto"/>
      </w:pPr>
      <w:r>
        <w:t xml:space="preserve">Dans cette fiche, SINA signifie </w:t>
      </w:r>
      <w:r w:rsidR="00C74187">
        <w:t>« </w:t>
      </w:r>
      <w:r>
        <w:t>SI non automatisé</w:t>
      </w:r>
      <w:r w:rsidR="00C74187">
        <w:t> »</w:t>
      </w:r>
      <w:r>
        <w:t xml:space="preserve"> et SIA </w:t>
      </w:r>
      <w:r w:rsidR="00C74187">
        <w:t>« </w:t>
      </w:r>
      <w:r>
        <w:t>SI automatisé</w:t>
      </w:r>
      <w:r w:rsidR="00C74187">
        <w:t> »</w:t>
      </w:r>
      <w:r>
        <w:t>. Ces deux sigles servent à illustrer une progression pédagogique et ne constituent ni des normes universelles ni des étapes obligatoires de maturité.</w:t>
      </w:r>
    </w:p>
    <w:p w14:paraId="069611E7" w14:textId="0C924D1E" w:rsidR="000F7B00" w:rsidRPr="000F7B00" w:rsidRDefault="000F7B00" w:rsidP="00C74187">
      <w:pPr>
        <w:spacing w:after="0" w:line="240" w:lineRule="auto"/>
      </w:pPr>
      <w:r>
        <w:t>Trois capacités complémentaires peuvent se développer</w:t>
      </w:r>
      <w:r w:rsidR="00C74187">
        <w:t> :</w:t>
      </w:r>
      <w:r>
        <w:t xml:space="preserve"> automatiser les traitements, organiser l’interopérabilité et soutenir les décisions. Elles peuvent apparaître simultanément.</w:t>
      </w:r>
    </w:p>
    <w:p w14:paraId="2511ED1E" w14:textId="77777777" w:rsidR="000F7B00" w:rsidRPr="000F7B00" w:rsidRDefault="000F7B00" w:rsidP="00C74187">
      <w:pPr>
        <w:spacing w:after="0" w:line="240" w:lineRule="auto"/>
        <w:rPr>
          <w:b/>
          <w:bCs/>
        </w:rPr>
      </w:pPr>
      <w:r w:rsidRPr="000F7B00">
        <w:rPr>
          <w:rFonts w:ascii="Segoe UI Emoji" w:hAnsi="Segoe UI Emoji" w:cs="Segoe UI Emoji"/>
          <w:b/>
          <w:bCs/>
        </w:rPr>
        <w:t>🧩</w:t>
      </w:r>
      <w:r w:rsidRPr="000F7B00">
        <w:rPr>
          <w:b/>
          <w:bCs/>
        </w:rPr>
        <w:t xml:space="preserve"> Les trois étapes d’évolution du SINA vers le SIA</w:t>
      </w:r>
    </w:p>
    <w:tbl>
      <w:tblPr>
        <w:tblStyle w:val="Grilledutableau"/>
        <w:tblW w:w="0" w:type="auto"/>
        <w:tblLook w:val="04A0" w:firstRow="1" w:lastRow="0" w:firstColumn="1" w:lastColumn="0" w:noHBand="0" w:noVBand="1"/>
      </w:tblPr>
      <w:tblGrid>
        <w:gridCol w:w="3389"/>
        <w:gridCol w:w="2682"/>
        <w:gridCol w:w="2524"/>
        <w:gridCol w:w="1861"/>
      </w:tblGrid>
      <w:tr w:rsidR="000F7B00" w:rsidRPr="00C74187" w14:paraId="2DDA99B7" w14:textId="77777777" w:rsidTr="00C74187">
        <w:trPr>
          <w:tblHeader/>
        </w:trPr>
        <w:tc>
          <w:tcPr>
            <w:tcW w:w="0" w:type="auto"/>
            <w:hideMark/>
          </w:tcPr>
          <w:p w14:paraId="3BC26107" w14:textId="77777777" w:rsidR="000F7B00" w:rsidRPr="00C74187" w:rsidRDefault="000F7B00" w:rsidP="00C74187">
            <w:pPr>
              <w:jc w:val="left"/>
              <w:rPr>
                <w:rFonts w:ascii="Calibri" w:hAnsi="Calibri" w:cs="Calibri"/>
                <w:b/>
                <w:bCs/>
                <w:sz w:val="20"/>
              </w:rPr>
            </w:pPr>
            <w:r w:rsidRPr="00C74187">
              <w:rPr>
                <w:rFonts w:ascii="Calibri" w:hAnsi="Calibri" w:cs="Calibri"/>
                <w:b/>
                <w:bCs/>
                <w:sz w:val="20"/>
              </w:rPr>
              <w:lastRenderedPageBreak/>
              <w:t>Étape</w:t>
            </w:r>
          </w:p>
        </w:tc>
        <w:tc>
          <w:tcPr>
            <w:tcW w:w="0" w:type="auto"/>
            <w:hideMark/>
          </w:tcPr>
          <w:p w14:paraId="2B112E2C" w14:textId="77777777" w:rsidR="000F7B00" w:rsidRPr="00C74187" w:rsidRDefault="000F7B00" w:rsidP="00C74187">
            <w:pPr>
              <w:jc w:val="left"/>
              <w:rPr>
                <w:rFonts w:ascii="Calibri" w:hAnsi="Calibri" w:cs="Calibri"/>
                <w:b/>
                <w:bCs/>
                <w:sz w:val="20"/>
              </w:rPr>
            </w:pPr>
            <w:r w:rsidRPr="00C74187">
              <w:rPr>
                <w:rFonts w:ascii="Calibri" w:hAnsi="Calibri" w:cs="Calibri"/>
                <w:b/>
                <w:bCs/>
                <w:sz w:val="20"/>
              </w:rPr>
              <w:t>Description</w:t>
            </w:r>
          </w:p>
        </w:tc>
        <w:tc>
          <w:tcPr>
            <w:tcW w:w="0" w:type="auto"/>
            <w:hideMark/>
          </w:tcPr>
          <w:p w14:paraId="4D2525A6" w14:textId="77777777" w:rsidR="000F7B00" w:rsidRPr="00C74187" w:rsidRDefault="000F7B00" w:rsidP="00C74187">
            <w:pPr>
              <w:jc w:val="left"/>
              <w:rPr>
                <w:rFonts w:ascii="Calibri" w:hAnsi="Calibri" w:cs="Calibri"/>
                <w:b/>
                <w:bCs/>
                <w:sz w:val="20"/>
              </w:rPr>
            </w:pPr>
            <w:r w:rsidRPr="00C74187">
              <w:rPr>
                <w:rFonts w:ascii="Calibri" w:hAnsi="Calibri" w:cs="Calibri"/>
                <w:b/>
                <w:bCs/>
                <w:sz w:val="20"/>
              </w:rPr>
              <w:t>Illustration</w:t>
            </w:r>
          </w:p>
        </w:tc>
        <w:tc>
          <w:tcPr>
            <w:tcW w:w="0" w:type="auto"/>
            <w:hideMark/>
          </w:tcPr>
          <w:p w14:paraId="25223F14" w14:textId="77777777" w:rsidR="000F7B00" w:rsidRPr="00C74187" w:rsidRDefault="000F7B00" w:rsidP="00C74187">
            <w:pPr>
              <w:jc w:val="left"/>
              <w:rPr>
                <w:rFonts w:ascii="Calibri" w:hAnsi="Calibri" w:cs="Calibri"/>
                <w:b/>
                <w:bCs/>
                <w:sz w:val="20"/>
              </w:rPr>
            </w:pPr>
            <w:r w:rsidRPr="00C74187">
              <w:rPr>
                <w:rFonts w:ascii="Calibri" w:hAnsi="Calibri" w:cs="Calibri"/>
                <w:b/>
                <w:bCs/>
                <w:sz w:val="20"/>
              </w:rPr>
              <w:t>Effet attendu</w:t>
            </w:r>
          </w:p>
        </w:tc>
      </w:tr>
      <w:tr w:rsidR="000F7B00" w:rsidRPr="00C74187" w14:paraId="5902D7D1" w14:textId="77777777" w:rsidTr="00C74187">
        <w:tc>
          <w:tcPr>
            <w:tcW w:w="0" w:type="auto"/>
            <w:hideMark/>
          </w:tcPr>
          <w:p w14:paraId="3647C4D8" w14:textId="77777777" w:rsidR="000F7B00" w:rsidRPr="00C74187" w:rsidRDefault="000F7B00" w:rsidP="00C74187">
            <w:pPr>
              <w:pStyle w:val="Titre1"/>
            </w:pPr>
            <w:r w:rsidRPr="00C74187">
              <w:t>1. Automatisation</w:t>
            </w:r>
          </w:p>
        </w:tc>
        <w:tc>
          <w:tcPr>
            <w:tcW w:w="0" w:type="auto"/>
            <w:hideMark/>
          </w:tcPr>
          <w:p w14:paraId="7A575141" w14:textId="77777777" w:rsidR="000F7B00" w:rsidRPr="00C74187" w:rsidRDefault="000F7B00" w:rsidP="00C74187">
            <w:pPr>
              <w:jc w:val="left"/>
              <w:rPr>
                <w:rFonts w:ascii="Calibri" w:hAnsi="Calibri" w:cs="Calibri"/>
                <w:sz w:val="20"/>
              </w:rPr>
            </w:pPr>
            <w:r w:rsidRPr="00C74187">
              <w:rPr>
                <w:rFonts w:ascii="Calibri" w:hAnsi="Calibri" w:cs="Calibri"/>
                <w:sz w:val="20"/>
              </w:rPr>
              <w:t>Remplacement des traitements manuels par des outils numériques (logiciels, bases de données).</w:t>
            </w:r>
          </w:p>
        </w:tc>
        <w:tc>
          <w:tcPr>
            <w:tcW w:w="0" w:type="auto"/>
            <w:hideMark/>
          </w:tcPr>
          <w:p w14:paraId="02D53310" w14:textId="77777777" w:rsidR="000F7B00" w:rsidRPr="00C74187" w:rsidRDefault="000F7B00" w:rsidP="00C74187">
            <w:pPr>
              <w:jc w:val="left"/>
              <w:rPr>
                <w:rFonts w:ascii="Calibri" w:hAnsi="Calibri" w:cs="Calibri"/>
                <w:sz w:val="20"/>
              </w:rPr>
            </w:pPr>
            <w:r w:rsidRPr="00C74187">
              <w:rPr>
                <w:rFonts w:ascii="Calibri" w:hAnsi="Calibri" w:cs="Calibri"/>
                <w:sz w:val="20"/>
              </w:rPr>
              <w:t>Passage du papier à l’ERP, calcul automatique des coûts, enregistrement électronique.</w:t>
            </w:r>
          </w:p>
        </w:tc>
        <w:tc>
          <w:tcPr>
            <w:tcW w:w="0" w:type="auto"/>
            <w:hideMark/>
          </w:tcPr>
          <w:p w14:paraId="48149772" w14:textId="77777777" w:rsidR="000F7B00" w:rsidRPr="00C74187" w:rsidRDefault="000F7B00" w:rsidP="00C74187">
            <w:pPr>
              <w:jc w:val="left"/>
              <w:rPr>
                <w:rFonts w:ascii="Calibri" w:hAnsi="Calibri" w:cs="Calibri"/>
                <w:sz w:val="20"/>
              </w:rPr>
            </w:pPr>
            <w:r w:rsidRPr="00C74187">
              <w:rPr>
                <w:rFonts w:ascii="Calibri" w:hAnsi="Calibri" w:cs="Calibri"/>
                <w:sz w:val="20"/>
              </w:rPr>
              <w:t>Gain de productivité et réduction des erreurs.</w:t>
            </w:r>
          </w:p>
        </w:tc>
      </w:tr>
      <w:tr w:rsidR="000F7B00" w:rsidRPr="00C74187" w14:paraId="6DD68386" w14:textId="77777777" w:rsidTr="00C74187">
        <w:tc>
          <w:tcPr>
            <w:tcW w:w="0" w:type="auto"/>
            <w:hideMark/>
          </w:tcPr>
          <w:p w14:paraId="5D1E50E1" w14:textId="77777777" w:rsidR="000F7B00" w:rsidRPr="00C74187" w:rsidRDefault="000F7B00" w:rsidP="00C74187">
            <w:pPr>
              <w:pStyle w:val="Titre1"/>
            </w:pPr>
            <w:r w:rsidRPr="00C74187">
              <w:t>2. Communication / interopérabilité</w:t>
            </w:r>
          </w:p>
        </w:tc>
        <w:tc>
          <w:tcPr>
            <w:tcW w:w="0" w:type="auto"/>
            <w:hideMark/>
          </w:tcPr>
          <w:p w14:paraId="6F11AD6A" w14:textId="77777777" w:rsidR="000F7B00" w:rsidRPr="00C74187" w:rsidRDefault="000F7B00" w:rsidP="00C74187">
            <w:pPr>
              <w:jc w:val="left"/>
              <w:rPr>
                <w:rFonts w:ascii="Calibri" w:hAnsi="Calibri" w:cs="Calibri"/>
                <w:sz w:val="20"/>
              </w:rPr>
            </w:pPr>
            <w:r w:rsidRPr="00C74187">
              <w:rPr>
                <w:rFonts w:ascii="Calibri" w:hAnsi="Calibri" w:cs="Calibri"/>
                <w:sz w:val="20"/>
              </w:rPr>
              <w:t>Les applications communiquent entre elles grâce à des interfaces et des protocoles communs.</w:t>
            </w:r>
          </w:p>
        </w:tc>
        <w:tc>
          <w:tcPr>
            <w:tcW w:w="0" w:type="auto"/>
            <w:hideMark/>
          </w:tcPr>
          <w:p w14:paraId="1436A802" w14:textId="77777777" w:rsidR="000F7B00" w:rsidRPr="00C74187" w:rsidRDefault="000F7B00" w:rsidP="00C74187">
            <w:pPr>
              <w:jc w:val="left"/>
              <w:rPr>
                <w:rFonts w:ascii="Calibri" w:hAnsi="Calibri" w:cs="Calibri"/>
                <w:sz w:val="20"/>
              </w:rPr>
            </w:pPr>
            <w:r w:rsidRPr="00C74187">
              <w:rPr>
                <w:rFonts w:ascii="Calibri" w:hAnsi="Calibri" w:cs="Calibri"/>
                <w:sz w:val="20"/>
              </w:rPr>
              <w:t>EDI, API, bus applicatif, partage de bases communes.</w:t>
            </w:r>
          </w:p>
        </w:tc>
        <w:tc>
          <w:tcPr>
            <w:tcW w:w="0" w:type="auto"/>
            <w:hideMark/>
          </w:tcPr>
          <w:p w14:paraId="0FD808CE" w14:textId="77777777" w:rsidR="000F7B00" w:rsidRPr="00C74187" w:rsidRDefault="000F7B00" w:rsidP="00C74187">
            <w:pPr>
              <w:jc w:val="left"/>
              <w:rPr>
                <w:rFonts w:ascii="Calibri" w:hAnsi="Calibri" w:cs="Calibri"/>
                <w:sz w:val="20"/>
              </w:rPr>
            </w:pPr>
            <w:r w:rsidRPr="00C74187">
              <w:rPr>
                <w:rFonts w:ascii="Calibri" w:hAnsi="Calibri" w:cs="Calibri"/>
                <w:sz w:val="20"/>
              </w:rPr>
              <w:t>Fluidité des échanges et cohérence des données.</w:t>
            </w:r>
          </w:p>
        </w:tc>
      </w:tr>
      <w:tr w:rsidR="000F7B00" w:rsidRPr="00C74187" w14:paraId="4D8C66C3" w14:textId="77777777" w:rsidTr="00C74187">
        <w:tc>
          <w:tcPr>
            <w:tcW w:w="0" w:type="auto"/>
            <w:hideMark/>
          </w:tcPr>
          <w:p w14:paraId="5980B0D3" w14:textId="77777777" w:rsidR="000F7B00" w:rsidRPr="00C74187" w:rsidRDefault="000F7B00" w:rsidP="00C74187">
            <w:pPr>
              <w:pStyle w:val="Titre1"/>
            </w:pPr>
            <w:r w:rsidRPr="00C74187">
              <w:t>3. Aide à la décision</w:t>
            </w:r>
          </w:p>
        </w:tc>
        <w:tc>
          <w:tcPr>
            <w:tcW w:w="0" w:type="auto"/>
            <w:hideMark/>
          </w:tcPr>
          <w:p w14:paraId="390C8650" w14:textId="77777777" w:rsidR="000F7B00" w:rsidRPr="00C74187" w:rsidRDefault="000F7B00" w:rsidP="00C74187">
            <w:pPr>
              <w:jc w:val="left"/>
              <w:rPr>
                <w:rFonts w:ascii="Calibri" w:hAnsi="Calibri" w:cs="Calibri"/>
                <w:sz w:val="20"/>
              </w:rPr>
            </w:pPr>
            <w:r w:rsidRPr="00C74187">
              <w:rPr>
                <w:rFonts w:ascii="Calibri" w:hAnsi="Calibri" w:cs="Calibri"/>
                <w:sz w:val="20"/>
              </w:rPr>
              <w:t>Exploitation de l’information pour piloter l’activité.</w:t>
            </w:r>
          </w:p>
        </w:tc>
        <w:tc>
          <w:tcPr>
            <w:tcW w:w="0" w:type="auto"/>
            <w:hideMark/>
          </w:tcPr>
          <w:p w14:paraId="308987FA" w14:textId="77777777" w:rsidR="000F7B00" w:rsidRPr="00C74187" w:rsidRDefault="000F7B00" w:rsidP="00C74187">
            <w:pPr>
              <w:jc w:val="left"/>
              <w:rPr>
                <w:rFonts w:ascii="Calibri" w:hAnsi="Calibri" w:cs="Calibri"/>
                <w:sz w:val="20"/>
              </w:rPr>
            </w:pPr>
            <w:r w:rsidRPr="00C74187">
              <w:rPr>
                <w:rFonts w:ascii="Calibri" w:hAnsi="Calibri" w:cs="Calibri"/>
                <w:sz w:val="20"/>
              </w:rPr>
              <w:t>Tableaux de bord, BI, indicateurs KPI.</w:t>
            </w:r>
          </w:p>
        </w:tc>
        <w:tc>
          <w:tcPr>
            <w:tcW w:w="0" w:type="auto"/>
            <w:hideMark/>
          </w:tcPr>
          <w:p w14:paraId="27323E4A" w14:textId="77777777" w:rsidR="000F7B00" w:rsidRPr="00C74187" w:rsidRDefault="000F7B00" w:rsidP="00C74187">
            <w:pPr>
              <w:jc w:val="left"/>
              <w:rPr>
                <w:rFonts w:ascii="Calibri" w:hAnsi="Calibri" w:cs="Calibri"/>
                <w:sz w:val="20"/>
              </w:rPr>
            </w:pPr>
            <w:r w:rsidRPr="00C74187">
              <w:rPr>
                <w:rFonts w:ascii="Calibri" w:hAnsi="Calibri" w:cs="Calibri"/>
                <w:sz w:val="20"/>
              </w:rPr>
              <w:t>Pilotage en temps réel et agilité décisionnelle.</w:t>
            </w:r>
          </w:p>
        </w:tc>
      </w:tr>
    </w:tbl>
    <w:p w14:paraId="1E4F246D" w14:textId="54695D6E" w:rsidR="000F7B00" w:rsidRPr="000F7B00" w:rsidRDefault="000F7B00" w:rsidP="00C74187">
      <w:pPr>
        <w:spacing w:after="0" w:line="240" w:lineRule="auto"/>
      </w:pPr>
      <w:r>
        <w:t>Ces capacités peuvent coexister</w:t>
      </w:r>
      <w:r w:rsidR="00C74187">
        <w:t> :</w:t>
      </w:r>
      <w:r>
        <w:t xml:space="preserve"> une organisation peut recourir à la BI tout en conservant des tâches manuelles</w:t>
      </w:r>
      <w:r w:rsidR="00C74187">
        <w:t> ;</w:t>
      </w:r>
      <w:r>
        <w:t xml:space="preserve"> l’automatisation ne garantit ni la qualité ni la sécurité des données.</w:t>
      </w:r>
    </w:p>
    <w:p w14:paraId="5D353E6A" w14:textId="77777777" w:rsidR="000F7B00" w:rsidRPr="000F7B00" w:rsidRDefault="000F7B00" w:rsidP="00C74187">
      <w:pPr>
        <w:spacing w:after="0" w:line="240" w:lineRule="auto"/>
      </w:pPr>
      <w:r w:rsidRPr="000F7B00">
        <w:t>SINA (Non automatisé)</w:t>
      </w:r>
    </w:p>
    <w:p w14:paraId="5EA85A06" w14:textId="77777777" w:rsidR="000F7B00" w:rsidRPr="000F7B00" w:rsidRDefault="000F7B00" w:rsidP="00C74187">
      <w:pPr>
        <w:spacing w:after="0" w:line="240" w:lineRule="auto"/>
      </w:pPr>
      <w:r w:rsidRPr="000F7B00">
        <w:t xml:space="preserve">       ↓  Automatisation</w:t>
      </w:r>
    </w:p>
    <w:p w14:paraId="7B927922" w14:textId="77777777" w:rsidR="000F7B00" w:rsidRPr="000F7B00" w:rsidRDefault="000F7B00" w:rsidP="00C74187">
      <w:pPr>
        <w:spacing w:after="0" w:line="240" w:lineRule="auto"/>
      </w:pPr>
      <w:r w:rsidRPr="000F7B00">
        <w:t>SIA (Automatisé)</w:t>
      </w:r>
    </w:p>
    <w:p w14:paraId="3D3E0F34" w14:textId="77777777" w:rsidR="000F7B00" w:rsidRPr="000F7B00" w:rsidRDefault="000F7B00" w:rsidP="00C74187">
      <w:pPr>
        <w:spacing w:after="0" w:line="240" w:lineRule="auto"/>
      </w:pPr>
      <w:r w:rsidRPr="000F7B00">
        <w:t xml:space="preserve">       ↓  Interopérabilité</w:t>
      </w:r>
    </w:p>
    <w:p w14:paraId="10DA0F7E" w14:textId="77777777" w:rsidR="000F7B00" w:rsidRPr="000F7B00" w:rsidRDefault="000F7B00" w:rsidP="00C74187">
      <w:pPr>
        <w:spacing w:after="0" w:line="240" w:lineRule="auto"/>
      </w:pPr>
      <w:r w:rsidRPr="000F7B00">
        <w:t>SI d’aide à la décision</w:t>
      </w:r>
    </w:p>
    <w:p w14:paraId="189100D6" w14:textId="77777777" w:rsidR="000F7B00" w:rsidRPr="000F7B00" w:rsidRDefault="000F7B00" w:rsidP="00C74187">
      <w:pPr>
        <w:spacing w:after="0" w:line="240" w:lineRule="auto"/>
      </w:pPr>
      <w:r w:rsidRPr="000F7B00">
        <w:t xml:space="preserve">       ↓  Vers le SI intelligent (IA, Cloud, IoT)</w:t>
      </w:r>
    </w:p>
    <w:p w14:paraId="0DD9BDBA" w14:textId="728278F1" w:rsidR="000F7B00" w:rsidRPr="000F7B00" w:rsidRDefault="000F7B00" w:rsidP="00C74187">
      <w:pPr>
        <w:spacing w:after="0" w:line="240" w:lineRule="auto"/>
      </w:pPr>
      <w:r>
        <w:t>L’évolution d’un SI dépend des besoins, des risques, de la qualité des données et des compétences</w:t>
      </w:r>
      <w:r w:rsidR="00C74187">
        <w:t> ;</w:t>
      </w:r>
      <w:r>
        <w:t xml:space="preserve"> l’usage d’IA ne constitue pas en soi un </w:t>
      </w:r>
      <w:r w:rsidR="00C74187">
        <w:t>« </w:t>
      </w:r>
      <w:r>
        <w:t>stade supérieur</w:t>
      </w:r>
      <w:r w:rsidR="00C74187">
        <w:t> »</w:t>
      </w:r>
      <w:r>
        <w:t xml:space="preserve"> obligatoire.</w:t>
      </w:r>
    </w:p>
    <w:p w14:paraId="25B160C7" w14:textId="77777777" w:rsidR="000F7B00" w:rsidRPr="000F7B00" w:rsidRDefault="000F7B00" w:rsidP="00C74187">
      <w:pPr>
        <w:spacing w:after="0" w:line="240" w:lineRule="auto"/>
        <w:rPr>
          <w:b/>
          <w:bCs/>
        </w:rPr>
      </w:pPr>
      <w:r w:rsidRPr="000F7B00">
        <w:rPr>
          <w:rFonts w:ascii="Segoe UI Emoji" w:hAnsi="Segoe UI Emoji" w:cs="Segoe UI Emoji"/>
          <w:b/>
          <w:bCs/>
        </w:rPr>
        <w:t>🔄</w:t>
      </w:r>
      <w:r w:rsidRPr="000F7B00">
        <w:rPr>
          <w:b/>
          <w:bCs/>
        </w:rPr>
        <w:t xml:space="preserve"> 6. Types d’évolutions du système d’information</w:t>
      </w:r>
    </w:p>
    <w:p w14:paraId="20DA817F" w14:textId="4663A726" w:rsidR="000F7B00" w:rsidRDefault="000F7B00" w:rsidP="00C74187">
      <w:pPr>
        <w:spacing w:after="0" w:line="240" w:lineRule="auto"/>
      </w:pPr>
      <w:r w:rsidRPr="000F7B00">
        <w:t xml:space="preserve">Les évolutions du SI peuvent être observées </w:t>
      </w:r>
      <w:r w:rsidRPr="000F7B00">
        <w:rPr>
          <w:b/>
          <w:bCs/>
        </w:rPr>
        <w:t>selon deux axes complémentaires</w:t>
      </w:r>
      <w:r w:rsidR="00C74187">
        <w:t> :</w:t>
      </w:r>
    </w:p>
    <w:p w14:paraId="79A69862" w14:textId="77777777" w:rsidR="000F7B00" w:rsidRDefault="000F7B00" w:rsidP="00C74187">
      <w:pPr>
        <w:spacing w:after="0" w:line="240" w:lineRule="auto"/>
      </w:pPr>
      <w:r w:rsidRPr="000F7B00">
        <w:rPr>
          <w:rFonts w:ascii="Segoe UI Emoji" w:hAnsi="Segoe UI Emoji" w:cs="Segoe UI Emoji"/>
        </w:rPr>
        <w:t>👉</w:t>
      </w:r>
      <w:r w:rsidRPr="000F7B00">
        <w:t xml:space="preserve"> les </w:t>
      </w:r>
      <w:r w:rsidRPr="000F7B00">
        <w:rPr>
          <w:b/>
          <w:bCs/>
        </w:rPr>
        <w:t>évolutions depuis le SINA</w:t>
      </w:r>
      <w:r w:rsidRPr="000F7B00">
        <w:t xml:space="preserve"> (automatisation de base)</w:t>
      </w:r>
    </w:p>
    <w:p w14:paraId="0730F119" w14:textId="77777777" w:rsidR="000F7B00" w:rsidRPr="000F7B00" w:rsidRDefault="000F7B00" w:rsidP="00C74187">
      <w:pPr>
        <w:spacing w:after="0" w:line="240" w:lineRule="auto"/>
      </w:pPr>
      <w:r w:rsidRPr="000F7B00">
        <w:rPr>
          <w:rFonts w:ascii="Segoe UI Emoji" w:hAnsi="Segoe UI Emoji" w:cs="Segoe UI Emoji"/>
        </w:rPr>
        <w:t>👉</w:t>
      </w:r>
      <w:r w:rsidRPr="000F7B00">
        <w:t xml:space="preserve"> et les </w:t>
      </w:r>
      <w:r w:rsidRPr="000F7B00">
        <w:rPr>
          <w:b/>
          <w:bCs/>
        </w:rPr>
        <w:t>évolutions depuis le SIA</w:t>
      </w:r>
      <w:r w:rsidRPr="000F7B00">
        <w:t xml:space="preserve"> (amélioration et intelligence du SI automatisé).</w:t>
      </w:r>
    </w:p>
    <w:p w14:paraId="792DCDED" w14:textId="20AE4DE2" w:rsidR="000F7B00" w:rsidRPr="000F7B00" w:rsidRDefault="000F7B00" w:rsidP="00C74187">
      <w:pPr>
        <w:spacing w:after="0" w:line="240" w:lineRule="auto"/>
        <w:rPr>
          <w:b/>
          <w:bCs/>
        </w:rPr>
      </w:pPr>
      <w:r w:rsidRPr="000F7B00">
        <w:rPr>
          <w:rFonts w:ascii="Segoe UI Emoji" w:hAnsi="Segoe UI Emoji" w:cs="Segoe UI Emoji"/>
          <w:b/>
          <w:bCs/>
        </w:rPr>
        <w:t>🔹</w:t>
      </w:r>
      <w:r w:rsidRPr="000F7B00">
        <w:rPr>
          <w:b/>
          <w:bCs/>
        </w:rPr>
        <w:t xml:space="preserve"> A. Évolutions depuis le SINA</w:t>
      </w:r>
      <w:r w:rsidR="00C74187">
        <w:rPr>
          <w:b/>
          <w:bCs/>
        </w:rPr>
        <w:t> :</w:t>
      </w:r>
      <w:r w:rsidRPr="000F7B00">
        <w:rPr>
          <w:b/>
          <w:bCs/>
        </w:rPr>
        <w:t xml:space="preserve"> la transition vers l’automatisation</w:t>
      </w:r>
    </w:p>
    <w:tbl>
      <w:tblPr>
        <w:tblStyle w:val="Grilledutableau"/>
        <w:tblW w:w="0" w:type="auto"/>
        <w:tblLook w:val="04A0" w:firstRow="1" w:lastRow="0" w:firstColumn="1" w:lastColumn="0" w:noHBand="0" w:noVBand="1"/>
      </w:tblPr>
      <w:tblGrid>
        <w:gridCol w:w="2278"/>
        <w:gridCol w:w="3252"/>
        <w:gridCol w:w="3114"/>
        <w:gridCol w:w="1812"/>
      </w:tblGrid>
      <w:tr w:rsidR="000F7B00" w:rsidRPr="00C74187" w14:paraId="42FCAEC1" w14:textId="77777777" w:rsidTr="00C74187">
        <w:trPr>
          <w:tblHeader/>
        </w:trPr>
        <w:tc>
          <w:tcPr>
            <w:tcW w:w="0" w:type="auto"/>
            <w:hideMark/>
          </w:tcPr>
          <w:p w14:paraId="6D41F5CE" w14:textId="77777777" w:rsidR="000F7B00" w:rsidRPr="00C74187" w:rsidRDefault="000F7B00" w:rsidP="00C74187">
            <w:pPr>
              <w:jc w:val="left"/>
              <w:rPr>
                <w:rFonts w:ascii="Calibri" w:hAnsi="Calibri" w:cs="Calibri"/>
                <w:b/>
                <w:bCs/>
                <w:sz w:val="20"/>
              </w:rPr>
            </w:pPr>
            <w:r w:rsidRPr="00C74187">
              <w:rPr>
                <w:rFonts w:ascii="Calibri" w:hAnsi="Calibri" w:cs="Calibri"/>
                <w:b/>
                <w:bCs/>
                <w:sz w:val="20"/>
              </w:rPr>
              <w:t>Type d’évolution</w:t>
            </w:r>
          </w:p>
        </w:tc>
        <w:tc>
          <w:tcPr>
            <w:tcW w:w="0" w:type="auto"/>
            <w:hideMark/>
          </w:tcPr>
          <w:p w14:paraId="167FD1A8" w14:textId="77777777" w:rsidR="000F7B00" w:rsidRPr="00C74187" w:rsidRDefault="000F7B00" w:rsidP="00C74187">
            <w:pPr>
              <w:jc w:val="left"/>
              <w:rPr>
                <w:rFonts w:ascii="Calibri" w:hAnsi="Calibri" w:cs="Calibri"/>
                <w:b/>
                <w:bCs/>
                <w:sz w:val="20"/>
              </w:rPr>
            </w:pPr>
            <w:r w:rsidRPr="00C74187">
              <w:rPr>
                <w:rFonts w:ascii="Calibri" w:hAnsi="Calibri" w:cs="Calibri"/>
                <w:b/>
                <w:bCs/>
                <w:sz w:val="20"/>
              </w:rPr>
              <w:t>Description</w:t>
            </w:r>
          </w:p>
        </w:tc>
        <w:tc>
          <w:tcPr>
            <w:tcW w:w="0" w:type="auto"/>
            <w:hideMark/>
          </w:tcPr>
          <w:p w14:paraId="409ACA36" w14:textId="77777777" w:rsidR="000F7B00" w:rsidRPr="00C74187" w:rsidRDefault="000F7B00" w:rsidP="00C74187">
            <w:pPr>
              <w:jc w:val="left"/>
              <w:rPr>
                <w:rFonts w:ascii="Calibri" w:hAnsi="Calibri" w:cs="Calibri"/>
                <w:b/>
                <w:bCs/>
                <w:sz w:val="20"/>
              </w:rPr>
            </w:pPr>
            <w:r w:rsidRPr="00C74187">
              <w:rPr>
                <w:rFonts w:ascii="Calibri" w:hAnsi="Calibri" w:cs="Calibri"/>
                <w:b/>
                <w:bCs/>
                <w:sz w:val="20"/>
              </w:rPr>
              <w:t>Exemples</w:t>
            </w:r>
          </w:p>
        </w:tc>
        <w:tc>
          <w:tcPr>
            <w:tcW w:w="0" w:type="auto"/>
            <w:hideMark/>
          </w:tcPr>
          <w:p w14:paraId="0D4C4B98" w14:textId="77777777" w:rsidR="000F7B00" w:rsidRPr="00C74187" w:rsidRDefault="000F7B00" w:rsidP="00C74187">
            <w:pPr>
              <w:jc w:val="left"/>
              <w:rPr>
                <w:rFonts w:ascii="Calibri" w:hAnsi="Calibri" w:cs="Calibri"/>
                <w:b/>
                <w:bCs/>
                <w:sz w:val="20"/>
              </w:rPr>
            </w:pPr>
            <w:r w:rsidRPr="00C74187">
              <w:rPr>
                <w:rFonts w:ascii="Calibri" w:hAnsi="Calibri" w:cs="Calibri"/>
                <w:b/>
                <w:bCs/>
                <w:sz w:val="20"/>
              </w:rPr>
              <w:t>Objectifs</w:t>
            </w:r>
          </w:p>
        </w:tc>
      </w:tr>
      <w:tr w:rsidR="000F7B00" w:rsidRPr="00C74187" w14:paraId="06A2D859" w14:textId="77777777" w:rsidTr="00C74187">
        <w:tc>
          <w:tcPr>
            <w:tcW w:w="0" w:type="auto"/>
            <w:hideMark/>
          </w:tcPr>
          <w:p w14:paraId="72C90637" w14:textId="77777777" w:rsidR="000F7B00" w:rsidRPr="00C74187" w:rsidRDefault="000F7B00" w:rsidP="00C74187">
            <w:pPr>
              <w:jc w:val="left"/>
              <w:rPr>
                <w:rFonts w:ascii="Calibri" w:hAnsi="Calibri" w:cs="Calibri"/>
                <w:sz w:val="20"/>
              </w:rPr>
            </w:pPr>
            <w:r w:rsidRPr="00C74187">
              <w:rPr>
                <w:rFonts w:ascii="Calibri" w:hAnsi="Calibri" w:cs="Calibri"/>
                <w:b/>
                <w:bCs/>
                <w:sz w:val="20"/>
              </w:rPr>
              <w:t>Automatisation des traitements</w:t>
            </w:r>
          </w:p>
        </w:tc>
        <w:tc>
          <w:tcPr>
            <w:tcW w:w="0" w:type="auto"/>
            <w:hideMark/>
          </w:tcPr>
          <w:p w14:paraId="25005F99" w14:textId="77777777" w:rsidR="000F7B00" w:rsidRPr="00C74187" w:rsidRDefault="000F7B00" w:rsidP="00C74187">
            <w:pPr>
              <w:jc w:val="left"/>
              <w:rPr>
                <w:rFonts w:ascii="Calibri" w:hAnsi="Calibri" w:cs="Calibri"/>
                <w:sz w:val="20"/>
              </w:rPr>
            </w:pPr>
            <w:r w:rsidRPr="00C74187">
              <w:rPr>
                <w:rFonts w:ascii="Calibri" w:hAnsi="Calibri" w:cs="Calibri"/>
                <w:sz w:val="20"/>
              </w:rPr>
              <w:t>Passage du manuel à l’informatisé (saisie, calcul, archivage).</w:t>
            </w:r>
          </w:p>
        </w:tc>
        <w:tc>
          <w:tcPr>
            <w:tcW w:w="0" w:type="auto"/>
            <w:hideMark/>
          </w:tcPr>
          <w:p w14:paraId="1A602E8D" w14:textId="77777777" w:rsidR="000F7B00" w:rsidRPr="00C74187" w:rsidRDefault="000F7B00" w:rsidP="00C74187">
            <w:pPr>
              <w:jc w:val="left"/>
              <w:rPr>
                <w:rFonts w:ascii="Calibri" w:hAnsi="Calibri" w:cs="Calibri"/>
                <w:sz w:val="20"/>
              </w:rPr>
            </w:pPr>
            <w:r w:rsidRPr="00C74187">
              <w:rPr>
                <w:rFonts w:ascii="Calibri" w:hAnsi="Calibri" w:cs="Calibri"/>
                <w:sz w:val="20"/>
              </w:rPr>
              <w:t>Tableurs, logiciels de compta, gestion des stocks.</w:t>
            </w:r>
          </w:p>
        </w:tc>
        <w:tc>
          <w:tcPr>
            <w:tcW w:w="0" w:type="auto"/>
            <w:hideMark/>
          </w:tcPr>
          <w:p w14:paraId="76E69303" w14:textId="77777777" w:rsidR="000F7B00" w:rsidRPr="00C74187" w:rsidRDefault="000F7B00" w:rsidP="00C74187">
            <w:pPr>
              <w:jc w:val="left"/>
              <w:rPr>
                <w:rFonts w:ascii="Calibri" w:hAnsi="Calibri" w:cs="Calibri"/>
                <w:sz w:val="20"/>
              </w:rPr>
            </w:pPr>
            <w:r w:rsidRPr="00C74187">
              <w:rPr>
                <w:rFonts w:ascii="Calibri" w:hAnsi="Calibri" w:cs="Calibri"/>
                <w:sz w:val="20"/>
              </w:rPr>
              <w:t>Productivité et fiabilité.</w:t>
            </w:r>
          </w:p>
        </w:tc>
      </w:tr>
      <w:tr w:rsidR="000F7B00" w:rsidRPr="00C74187" w14:paraId="30A72C3E" w14:textId="77777777" w:rsidTr="00C74187">
        <w:tc>
          <w:tcPr>
            <w:tcW w:w="0" w:type="auto"/>
            <w:hideMark/>
          </w:tcPr>
          <w:p w14:paraId="3052845B" w14:textId="77777777" w:rsidR="000F7B00" w:rsidRPr="00C74187" w:rsidRDefault="000F7B00" w:rsidP="00C74187">
            <w:pPr>
              <w:jc w:val="left"/>
              <w:rPr>
                <w:rFonts w:ascii="Calibri" w:hAnsi="Calibri" w:cs="Calibri"/>
                <w:sz w:val="20"/>
              </w:rPr>
            </w:pPr>
            <w:r w:rsidRPr="00C74187">
              <w:rPr>
                <w:rFonts w:ascii="Calibri" w:hAnsi="Calibri" w:cs="Calibri"/>
                <w:b/>
                <w:bCs/>
                <w:sz w:val="20"/>
              </w:rPr>
              <w:t>Dématérialisation</w:t>
            </w:r>
          </w:p>
        </w:tc>
        <w:tc>
          <w:tcPr>
            <w:tcW w:w="0" w:type="auto"/>
            <w:hideMark/>
          </w:tcPr>
          <w:p w14:paraId="68AC6F79" w14:textId="77777777" w:rsidR="000F7B00" w:rsidRPr="00C74187" w:rsidRDefault="000F7B00" w:rsidP="00C74187">
            <w:pPr>
              <w:jc w:val="left"/>
              <w:rPr>
                <w:rFonts w:ascii="Calibri" w:hAnsi="Calibri" w:cs="Calibri"/>
                <w:sz w:val="20"/>
              </w:rPr>
            </w:pPr>
            <w:r w:rsidRPr="00C74187">
              <w:rPr>
                <w:rFonts w:ascii="Calibri" w:hAnsi="Calibri" w:cs="Calibri"/>
                <w:sz w:val="20"/>
              </w:rPr>
              <w:t>Suppression du papier au profit de supports numériques.</w:t>
            </w:r>
          </w:p>
        </w:tc>
        <w:tc>
          <w:tcPr>
            <w:tcW w:w="0" w:type="auto"/>
            <w:hideMark/>
          </w:tcPr>
          <w:p w14:paraId="3A3D5BAF" w14:textId="77777777" w:rsidR="000F7B00" w:rsidRPr="00C74187" w:rsidRDefault="000F7B00" w:rsidP="00C74187">
            <w:pPr>
              <w:jc w:val="left"/>
              <w:rPr>
                <w:rFonts w:ascii="Calibri" w:hAnsi="Calibri" w:cs="Calibri"/>
                <w:sz w:val="20"/>
              </w:rPr>
            </w:pPr>
            <w:r w:rsidRPr="00C74187">
              <w:rPr>
                <w:rFonts w:ascii="Calibri" w:hAnsi="Calibri" w:cs="Calibri"/>
                <w:sz w:val="20"/>
              </w:rPr>
              <w:t>Factures électroniques, bulletins de paie dématérialisés.</w:t>
            </w:r>
          </w:p>
        </w:tc>
        <w:tc>
          <w:tcPr>
            <w:tcW w:w="0" w:type="auto"/>
            <w:hideMark/>
          </w:tcPr>
          <w:p w14:paraId="5EF32389" w14:textId="77777777" w:rsidR="000F7B00" w:rsidRPr="00C74187" w:rsidRDefault="000F7B00" w:rsidP="00C74187">
            <w:pPr>
              <w:jc w:val="left"/>
              <w:rPr>
                <w:rFonts w:ascii="Calibri" w:hAnsi="Calibri" w:cs="Calibri"/>
                <w:sz w:val="20"/>
              </w:rPr>
            </w:pPr>
            <w:r w:rsidRPr="00C74187">
              <w:rPr>
                <w:rFonts w:ascii="Calibri" w:hAnsi="Calibri" w:cs="Calibri"/>
                <w:sz w:val="20"/>
              </w:rPr>
              <w:t>Rapidité et traçabilité.</w:t>
            </w:r>
          </w:p>
        </w:tc>
      </w:tr>
      <w:tr w:rsidR="000F7B00" w:rsidRPr="00C74187" w14:paraId="0CD0C6EB" w14:textId="77777777" w:rsidTr="00C74187">
        <w:tc>
          <w:tcPr>
            <w:tcW w:w="0" w:type="auto"/>
            <w:hideMark/>
          </w:tcPr>
          <w:p w14:paraId="18590877" w14:textId="77777777" w:rsidR="000F7B00" w:rsidRPr="00C74187" w:rsidRDefault="000F7B00" w:rsidP="00C74187">
            <w:pPr>
              <w:jc w:val="left"/>
              <w:rPr>
                <w:rFonts w:ascii="Calibri" w:hAnsi="Calibri" w:cs="Calibri"/>
                <w:sz w:val="20"/>
              </w:rPr>
            </w:pPr>
            <w:r w:rsidRPr="00C74187">
              <w:rPr>
                <w:rFonts w:ascii="Calibri" w:hAnsi="Calibri" w:cs="Calibri"/>
                <w:b/>
                <w:bCs/>
                <w:sz w:val="20"/>
              </w:rPr>
              <w:t>Standardisation des processus</w:t>
            </w:r>
          </w:p>
        </w:tc>
        <w:tc>
          <w:tcPr>
            <w:tcW w:w="0" w:type="auto"/>
            <w:hideMark/>
          </w:tcPr>
          <w:p w14:paraId="2AA66AB7" w14:textId="77777777" w:rsidR="000F7B00" w:rsidRPr="00C74187" w:rsidRDefault="000F7B00" w:rsidP="00C74187">
            <w:pPr>
              <w:jc w:val="left"/>
              <w:rPr>
                <w:rFonts w:ascii="Calibri" w:hAnsi="Calibri" w:cs="Calibri"/>
                <w:sz w:val="20"/>
              </w:rPr>
            </w:pPr>
            <w:r w:rsidRPr="00C74187">
              <w:rPr>
                <w:rFonts w:ascii="Calibri" w:hAnsi="Calibri" w:cs="Calibri"/>
                <w:sz w:val="20"/>
              </w:rPr>
              <w:t>Uniformisation des méthodes de gestion via le numérique.</w:t>
            </w:r>
          </w:p>
        </w:tc>
        <w:tc>
          <w:tcPr>
            <w:tcW w:w="0" w:type="auto"/>
            <w:hideMark/>
          </w:tcPr>
          <w:p w14:paraId="4D58ABC5" w14:textId="77777777" w:rsidR="000F7B00" w:rsidRPr="00C74187" w:rsidRDefault="000F7B00" w:rsidP="00C74187">
            <w:pPr>
              <w:jc w:val="left"/>
              <w:rPr>
                <w:rFonts w:ascii="Calibri" w:hAnsi="Calibri" w:cs="Calibri"/>
                <w:sz w:val="20"/>
              </w:rPr>
            </w:pPr>
            <w:r w:rsidRPr="00C74187">
              <w:rPr>
                <w:rFonts w:ascii="Calibri" w:hAnsi="Calibri" w:cs="Calibri"/>
                <w:sz w:val="20"/>
              </w:rPr>
              <w:t>Formulaires en ligne, workflows intégrés.</w:t>
            </w:r>
          </w:p>
        </w:tc>
        <w:tc>
          <w:tcPr>
            <w:tcW w:w="0" w:type="auto"/>
            <w:hideMark/>
          </w:tcPr>
          <w:p w14:paraId="5DC294BC" w14:textId="77777777" w:rsidR="000F7B00" w:rsidRPr="00C74187" w:rsidRDefault="000F7B00" w:rsidP="00C74187">
            <w:pPr>
              <w:jc w:val="left"/>
              <w:rPr>
                <w:rFonts w:ascii="Calibri" w:hAnsi="Calibri" w:cs="Calibri"/>
                <w:sz w:val="20"/>
              </w:rPr>
            </w:pPr>
            <w:r w:rsidRPr="00C74187">
              <w:rPr>
                <w:rFonts w:ascii="Calibri" w:hAnsi="Calibri" w:cs="Calibri"/>
                <w:sz w:val="20"/>
              </w:rPr>
              <w:t>Homogénéité et contrôle.</w:t>
            </w:r>
          </w:p>
        </w:tc>
      </w:tr>
    </w:tbl>
    <w:p w14:paraId="406BD7F3" w14:textId="77777777" w:rsidR="000F7B00" w:rsidRPr="000F7B00" w:rsidRDefault="000F7B00" w:rsidP="00C74187">
      <w:pPr>
        <w:spacing w:after="0" w:line="240" w:lineRule="auto"/>
      </w:pPr>
      <w:r w:rsidRPr="000F7B00">
        <w:rPr>
          <w:rFonts w:ascii="Segoe UI Emoji" w:hAnsi="Segoe UI Emoji" w:cs="Segoe UI Emoji"/>
        </w:rPr>
        <w:t>📘</w:t>
      </w:r>
      <w:r w:rsidRPr="000F7B00">
        <w:t xml:space="preserve"> Le passage du SINA au SIA correspond à </w:t>
      </w:r>
      <w:r w:rsidRPr="000F7B00">
        <w:rPr>
          <w:b/>
          <w:bCs/>
        </w:rPr>
        <w:t>la numérisation initiale du système d’information</w:t>
      </w:r>
      <w:r w:rsidRPr="000F7B00">
        <w:t>.</w:t>
      </w:r>
    </w:p>
    <w:p w14:paraId="65340D90" w14:textId="325ABE01" w:rsidR="000F7B00" w:rsidRPr="000F7B00" w:rsidRDefault="000F7B00" w:rsidP="00C74187">
      <w:pPr>
        <w:spacing w:after="0" w:line="240" w:lineRule="auto"/>
        <w:rPr>
          <w:b/>
          <w:bCs/>
        </w:rPr>
      </w:pPr>
      <w:r w:rsidRPr="000F7B00">
        <w:rPr>
          <w:rFonts w:ascii="Segoe UI Emoji" w:hAnsi="Segoe UI Emoji" w:cs="Segoe UI Emoji"/>
          <w:b/>
          <w:bCs/>
        </w:rPr>
        <w:t>🔹</w:t>
      </w:r>
      <w:r w:rsidRPr="000F7B00">
        <w:rPr>
          <w:b/>
          <w:bCs/>
        </w:rPr>
        <w:t xml:space="preserve"> B. Évolutions depuis le SIA</w:t>
      </w:r>
      <w:r w:rsidR="00C74187">
        <w:rPr>
          <w:b/>
          <w:bCs/>
        </w:rPr>
        <w:t> :</w:t>
      </w:r>
      <w:r w:rsidRPr="000F7B00">
        <w:rPr>
          <w:b/>
          <w:bCs/>
        </w:rPr>
        <w:t xml:space="preserve"> vers le SI intelligent</w:t>
      </w:r>
    </w:p>
    <w:tbl>
      <w:tblPr>
        <w:tblStyle w:val="Grilledutableau"/>
        <w:tblW w:w="0" w:type="auto"/>
        <w:tblLook w:val="04A0" w:firstRow="1" w:lastRow="0" w:firstColumn="1" w:lastColumn="0" w:noHBand="0" w:noVBand="1"/>
      </w:tblPr>
      <w:tblGrid>
        <w:gridCol w:w="2776"/>
        <w:gridCol w:w="3090"/>
        <w:gridCol w:w="2565"/>
        <w:gridCol w:w="2025"/>
      </w:tblGrid>
      <w:tr w:rsidR="000F7B00" w:rsidRPr="00C74187" w14:paraId="1377D322" w14:textId="77777777" w:rsidTr="00C74187">
        <w:trPr>
          <w:tblHeader/>
        </w:trPr>
        <w:tc>
          <w:tcPr>
            <w:tcW w:w="0" w:type="auto"/>
            <w:hideMark/>
          </w:tcPr>
          <w:p w14:paraId="18F93D68" w14:textId="77777777" w:rsidR="000F7B00" w:rsidRPr="00C74187" w:rsidRDefault="000F7B00" w:rsidP="00C74187">
            <w:pPr>
              <w:jc w:val="left"/>
              <w:rPr>
                <w:rFonts w:ascii="Calibri" w:hAnsi="Calibri" w:cs="Calibri"/>
                <w:b/>
                <w:bCs/>
                <w:sz w:val="20"/>
              </w:rPr>
            </w:pPr>
            <w:r w:rsidRPr="00C74187">
              <w:rPr>
                <w:rFonts w:ascii="Calibri" w:hAnsi="Calibri" w:cs="Calibri"/>
                <w:b/>
                <w:bCs/>
                <w:sz w:val="20"/>
              </w:rPr>
              <w:t>Type d’évolution</w:t>
            </w:r>
          </w:p>
        </w:tc>
        <w:tc>
          <w:tcPr>
            <w:tcW w:w="0" w:type="auto"/>
            <w:hideMark/>
          </w:tcPr>
          <w:p w14:paraId="2CB58E6E" w14:textId="77777777" w:rsidR="000F7B00" w:rsidRPr="00C74187" w:rsidRDefault="000F7B00" w:rsidP="00C74187">
            <w:pPr>
              <w:jc w:val="left"/>
              <w:rPr>
                <w:rFonts w:ascii="Calibri" w:hAnsi="Calibri" w:cs="Calibri"/>
                <w:b/>
                <w:bCs/>
                <w:sz w:val="20"/>
              </w:rPr>
            </w:pPr>
            <w:r w:rsidRPr="00C74187">
              <w:rPr>
                <w:rFonts w:ascii="Calibri" w:hAnsi="Calibri" w:cs="Calibri"/>
                <w:b/>
                <w:bCs/>
                <w:sz w:val="20"/>
              </w:rPr>
              <w:t>Description</w:t>
            </w:r>
          </w:p>
        </w:tc>
        <w:tc>
          <w:tcPr>
            <w:tcW w:w="0" w:type="auto"/>
            <w:hideMark/>
          </w:tcPr>
          <w:p w14:paraId="4C25EF05" w14:textId="77777777" w:rsidR="000F7B00" w:rsidRPr="00C74187" w:rsidRDefault="000F7B00" w:rsidP="00C74187">
            <w:pPr>
              <w:jc w:val="left"/>
              <w:rPr>
                <w:rFonts w:ascii="Calibri" w:hAnsi="Calibri" w:cs="Calibri"/>
                <w:b/>
                <w:bCs/>
                <w:sz w:val="20"/>
              </w:rPr>
            </w:pPr>
            <w:r w:rsidRPr="00C74187">
              <w:rPr>
                <w:rFonts w:ascii="Calibri" w:hAnsi="Calibri" w:cs="Calibri"/>
                <w:b/>
                <w:bCs/>
                <w:sz w:val="20"/>
              </w:rPr>
              <w:t>Exemples</w:t>
            </w:r>
          </w:p>
        </w:tc>
        <w:tc>
          <w:tcPr>
            <w:tcW w:w="0" w:type="auto"/>
            <w:hideMark/>
          </w:tcPr>
          <w:p w14:paraId="664F8395" w14:textId="77777777" w:rsidR="000F7B00" w:rsidRPr="00C74187" w:rsidRDefault="000F7B00" w:rsidP="00C74187">
            <w:pPr>
              <w:jc w:val="left"/>
              <w:rPr>
                <w:rFonts w:ascii="Calibri" w:hAnsi="Calibri" w:cs="Calibri"/>
                <w:b/>
                <w:bCs/>
                <w:sz w:val="20"/>
              </w:rPr>
            </w:pPr>
            <w:r w:rsidRPr="00C74187">
              <w:rPr>
                <w:rFonts w:ascii="Calibri" w:hAnsi="Calibri" w:cs="Calibri"/>
                <w:b/>
                <w:bCs/>
                <w:sz w:val="20"/>
              </w:rPr>
              <w:t>Objectifs</w:t>
            </w:r>
          </w:p>
        </w:tc>
      </w:tr>
      <w:tr w:rsidR="000F7B00" w:rsidRPr="00C74187" w14:paraId="007FA7B4" w14:textId="77777777" w:rsidTr="00C74187">
        <w:tc>
          <w:tcPr>
            <w:tcW w:w="0" w:type="auto"/>
            <w:hideMark/>
          </w:tcPr>
          <w:p w14:paraId="76EB7752" w14:textId="77777777" w:rsidR="000F7B00" w:rsidRPr="00C74187" w:rsidRDefault="000F7B00" w:rsidP="00C74187">
            <w:pPr>
              <w:jc w:val="left"/>
              <w:rPr>
                <w:rFonts w:ascii="Calibri" w:hAnsi="Calibri" w:cs="Calibri"/>
                <w:sz w:val="20"/>
              </w:rPr>
            </w:pPr>
            <w:r w:rsidRPr="00C74187">
              <w:rPr>
                <w:rFonts w:ascii="Calibri" w:hAnsi="Calibri" w:cs="Calibri"/>
                <w:b/>
                <w:bCs/>
                <w:sz w:val="20"/>
              </w:rPr>
              <w:t>Interopérabilité</w:t>
            </w:r>
          </w:p>
        </w:tc>
        <w:tc>
          <w:tcPr>
            <w:tcW w:w="0" w:type="auto"/>
            <w:hideMark/>
          </w:tcPr>
          <w:p w14:paraId="424D78EE" w14:textId="77777777" w:rsidR="000F7B00" w:rsidRPr="00C74187" w:rsidRDefault="000F7B00" w:rsidP="00C74187">
            <w:pPr>
              <w:jc w:val="left"/>
              <w:rPr>
                <w:rFonts w:ascii="Calibri" w:hAnsi="Calibri" w:cs="Calibri"/>
                <w:sz w:val="20"/>
              </w:rPr>
            </w:pPr>
            <w:r w:rsidRPr="00C74187">
              <w:rPr>
                <w:rFonts w:ascii="Calibri" w:hAnsi="Calibri" w:cs="Calibri"/>
                <w:sz w:val="20"/>
              </w:rPr>
              <w:t>Communication fluide entre applications et services.</w:t>
            </w:r>
          </w:p>
        </w:tc>
        <w:tc>
          <w:tcPr>
            <w:tcW w:w="0" w:type="auto"/>
            <w:hideMark/>
          </w:tcPr>
          <w:p w14:paraId="31250AEB" w14:textId="77777777" w:rsidR="000F7B00" w:rsidRPr="00C74187" w:rsidRDefault="000F7B00" w:rsidP="00C74187">
            <w:pPr>
              <w:jc w:val="left"/>
              <w:rPr>
                <w:rFonts w:ascii="Calibri" w:hAnsi="Calibri" w:cs="Calibri"/>
                <w:sz w:val="20"/>
              </w:rPr>
            </w:pPr>
            <w:r w:rsidRPr="00C74187">
              <w:rPr>
                <w:rFonts w:ascii="Calibri" w:hAnsi="Calibri" w:cs="Calibri"/>
                <w:sz w:val="20"/>
              </w:rPr>
              <w:t>API, EAI, ESB, plateformes cloud.</w:t>
            </w:r>
          </w:p>
        </w:tc>
        <w:tc>
          <w:tcPr>
            <w:tcW w:w="0" w:type="auto"/>
            <w:hideMark/>
          </w:tcPr>
          <w:p w14:paraId="7520A5A5" w14:textId="77777777" w:rsidR="000F7B00" w:rsidRPr="00C74187" w:rsidRDefault="000F7B00" w:rsidP="00C74187">
            <w:pPr>
              <w:jc w:val="left"/>
              <w:rPr>
                <w:rFonts w:ascii="Calibri" w:hAnsi="Calibri" w:cs="Calibri"/>
                <w:sz w:val="20"/>
              </w:rPr>
            </w:pPr>
            <w:r w:rsidRPr="00C74187">
              <w:rPr>
                <w:rFonts w:ascii="Calibri" w:hAnsi="Calibri" w:cs="Calibri"/>
                <w:sz w:val="20"/>
              </w:rPr>
              <w:t>Cohérence et réactivité.</w:t>
            </w:r>
          </w:p>
        </w:tc>
      </w:tr>
      <w:tr w:rsidR="000F7B00" w:rsidRPr="00C74187" w14:paraId="39B8AD34" w14:textId="77777777" w:rsidTr="00C74187">
        <w:tc>
          <w:tcPr>
            <w:tcW w:w="0" w:type="auto"/>
            <w:hideMark/>
          </w:tcPr>
          <w:p w14:paraId="3C514223" w14:textId="77777777" w:rsidR="000F7B00" w:rsidRPr="00C74187" w:rsidRDefault="000F7B00" w:rsidP="00C74187">
            <w:pPr>
              <w:jc w:val="left"/>
              <w:rPr>
                <w:rFonts w:ascii="Calibri" w:hAnsi="Calibri" w:cs="Calibri"/>
                <w:sz w:val="20"/>
              </w:rPr>
            </w:pPr>
            <w:r w:rsidRPr="00C74187">
              <w:rPr>
                <w:rFonts w:ascii="Calibri" w:hAnsi="Calibri" w:cs="Calibri"/>
                <w:b/>
                <w:bCs/>
                <w:sz w:val="20"/>
              </w:rPr>
              <w:t>Intégration et urbanisation</w:t>
            </w:r>
          </w:p>
        </w:tc>
        <w:tc>
          <w:tcPr>
            <w:tcW w:w="0" w:type="auto"/>
            <w:hideMark/>
          </w:tcPr>
          <w:p w14:paraId="146316D4" w14:textId="77777777" w:rsidR="000F7B00" w:rsidRPr="00C74187" w:rsidRDefault="000F7B00" w:rsidP="00C74187">
            <w:pPr>
              <w:jc w:val="left"/>
              <w:rPr>
                <w:rFonts w:ascii="Calibri" w:hAnsi="Calibri" w:cs="Calibri"/>
                <w:sz w:val="20"/>
              </w:rPr>
            </w:pPr>
            <w:r w:rsidRPr="00C74187">
              <w:rPr>
                <w:rFonts w:ascii="Calibri" w:hAnsi="Calibri" w:cs="Calibri"/>
                <w:sz w:val="20"/>
              </w:rPr>
              <w:t>Centralisation et modularité des composants du SI.</w:t>
            </w:r>
          </w:p>
        </w:tc>
        <w:tc>
          <w:tcPr>
            <w:tcW w:w="0" w:type="auto"/>
            <w:hideMark/>
          </w:tcPr>
          <w:p w14:paraId="386F875A" w14:textId="77777777" w:rsidR="000F7B00" w:rsidRPr="00C74187" w:rsidRDefault="000F7B00" w:rsidP="00C74187">
            <w:pPr>
              <w:jc w:val="left"/>
              <w:rPr>
                <w:rFonts w:ascii="Calibri" w:hAnsi="Calibri" w:cs="Calibri"/>
                <w:sz w:val="20"/>
              </w:rPr>
            </w:pPr>
            <w:r w:rsidRPr="00C74187">
              <w:rPr>
                <w:rFonts w:ascii="Calibri" w:hAnsi="Calibri" w:cs="Calibri"/>
                <w:sz w:val="20"/>
              </w:rPr>
              <w:t>ERP, référentiels de données, architecture SOA.</w:t>
            </w:r>
          </w:p>
        </w:tc>
        <w:tc>
          <w:tcPr>
            <w:tcW w:w="0" w:type="auto"/>
            <w:hideMark/>
          </w:tcPr>
          <w:p w14:paraId="29A85459" w14:textId="77777777" w:rsidR="000F7B00" w:rsidRPr="00C74187" w:rsidRDefault="000F7B00" w:rsidP="00C74187">
            <w:pPr>
              <w:jc w:val="left"/>
              <w:rPr>
                <w:rFonts w:ascii="Calibri" w:hAnsi="Calibri" w:cs="Calibri"/>
                <w:sz w:val="20"/>
              </w:rPr>
            </w:pPr>
            <w:r w:rsidRPr="00C74187">
              <w:rPr>
                <w:rFonts w:ascii="Calibri" w:hAnsi="Calibri" w:cs="Calibri"/>
                <w:sz w:val="20"/>
              </w:rPr>
              <w:t>Réduction des redondances.</w:t>
            </w:r>
          </w:p>
        </w:tc>
      </w:tr>
      <w:tr w:rsidR="000F7B00" w:rsidRPr="00C74187" w14:paraId="466CC371" w14:textId="77777777" w:rsidTr="00C74187">
        <w:tc>
          <w:tcPr>
            <w:tcW w:w="0" w:type="auto"/>
            <w:hideMark/>
          </w:tcPr>
          <w:p w14:paraId="7CD979AE" w14:textId="77777777" w:rsidR="000F7B00" w:rsidRPr="00C74187" w:rsidRDefault="000F7B00" w:rsidP="00C74187">
            <w:pPr>
              <w:jc w:val="left"/>
              <w:rPr>
                <w:rFonts w:ascii="Calibri" w:hAnsi="Calibri" w:cs="Calibri"/>
                <w:sz w:val="20"/>
              </w:rPr>
            </w:pPr>
            <w:r w:rsidRPr="00C74187">
              <w:rPr>
                <w:rFonts w:ascii="Calibri" w:hAnsi="Calibri" w:cs="Calibri"/>
                <w:b/>
                <w:bCs/>
                <w:sz w:val="20"/>
              </w:rPr>
              <w:t>Aide à la décision et analyse</w:t>
            </w:r>
          </w:p>
        </w:tc>
        <w:tc>
          <w:tcPr>
            <w:tcW w:w="0" w:type="auto"/>
            <w:hideMark/>
          </w:tcPr>
          <w:p w14:paraId="3E1E0797" w14:textId="77777777" w:rsidR="000F7B00" w:rsidRPr="00C74187" w:rsidRDefault="000F7B00" w:rsidP="00C74187">
            <w:pPr>
              <w:jc w:val="left"/>
              <w:rPr>
                <w:rFonts w:ascii="Calibri" w:hAnsi="Calibri" w:cs="Calibri"/>
                <w:sz w:val="20"/>
              </w:rPr>
            </w:pPr>
            <w:r w:rsidRPr="00C74187">
              <w:rPr>
                <w:rFonts w:ascii="Calibri" w:hAnsi="Calibri" w:cs="Calibri"/>
                <w:sz w:val="20"/>
              </w:rPr>
              <w:t>Outils décisionnels pour le pilotage stratégique.</w:t>
            </w:r>
          </w:p>
        </w:tc>
        <w:tc>
          <w:tcPr>
            <w:tcW w:w="0" w:type="auto"/>
            <w:hideMark/>
          </w:tcPr>
          <w:p w14:paraId="2115FD9B" w14:textId="77777777" w:rsidR="000F7B00" w:rsidRPr="00C74187" w:rsidRDefault="000F7B00" w:rsidP="00C74187">
            <w:pPr>
              <w:jc w:val="left"/>
              <w:rPr>
                <w:rFonts w:ascii="Calibri" w:hAnsi="Calibri" w:cs="Calibri"/>
                <w:sz w:val="20"/>
              </w:rPr>
            </w:pPr>
            <w:r w:rsidRPr="00C74187">
              <w:rPr>
                <w:rFonts w:ascii="Calibri" w:hAnsi="Calibri" w:cs="Calibri"/>
                <w:sz w:val="20"/>
              </w:rPr>
              <w:t xml:space="preserve">BI, KPI, tableaux de bord, data </w:t>
            </w:r>
            <w:proofErr w:type="spellStart"/>
            <w:r w:rsidRPr="00C74187">
              <w:rPr>
                <w:rFonts w:ascii="Calibri" w:hAnsi="Calibri" w:cs="Calibri"/>
                <w:sz w:val="20"/>
              </w:rPr>
              <w:t>warehouse</w:t>
            </w:r>
            <w:proofErr w:type="spellEnd"/>
            <w:r w:rsidRPr="00C74187">
              <w:rPr>
                <w:rFonts w:ascii="Calibri" w:hAnsi="Calibri" w:cs="Calibri"/>
                <w:sz w:val="20"/>
              </w:rPr>
              <w:t>.</w:t>
            </w:r>
          </w:p>
        </w:tc>
        <w:tc>
          <w:tcPr>
            <w:tcW w:w="0" w:type="auto"/>
            <w:hideMark/>
          </w:tcPr>
          <w:p w14:paraId="63AEDD4D" w14:textId="77777777" w:rsidR="000F7B00" w:rsidRPr="00C74187" w:rsidRDefault="000F7B00" w:rsidP="00C74187">
            <w:pPr>
              <w:jc w:val="left"/>
              <w:rPr>
                <w:rFonts w:ascii="Calibri" w:hAnsi="Calibri" w:cs="Calibri"/>
                <w:sz w:val="20"/>
              </w:rPr>
            </w:pPr>
            <w:r w:rsidRPr="00C74187">
              <w:rPr>
                <w:rFonts w:ascii="Calibri" w:hAnsi="Calibri" w:cs="Calibri"/>
                <w:sz w:val="20"/>
              </w:rPr>
              <w:t>Pilotage et anticipation.</w:t>
            </w:r>
          </w:p>
        </w:tc>
      </w:tr>
      <w:tr w:rsidR="000F7B00" w:rsidRPr="00C74187" w14:paraId="0CE95F0F" w14:textId="77777777" w:rsidTr="00C74187">
        <w:tc>
          <w:tcPr>
            <w:tcW w:w="0" w:type="auto"/>
            <w:hideMark/>
          </w:tcPr>
          <w:p w14:paraId="5592922D" w14:textId="77777777" w:rsidR="000F7B00" w:rsidRPr="00C74187" w:rsidRDefault="000F7B00" w:rsidP="00C74187">
            <w:pPr>
              <w:jc w:val="left"/>
              <w:rPr>
                <w:rFonts w:ascii="Calibri" w:hAnsi="Calibri" w:cs="Calibri"/>
                <w:sz w:val="20"/>
              </w:rPr>
            </w:pPr>
            <w:r w:rsidRPr="00C74187">
              <w:rPr>
                <w:rFonts w:ascii="Calibri" w:hAnsi="Calibri" w:cs="Calibri"/>
                <w:b/>
                <w:bCs/>
                <w:sz w:val="20"/>
              </w:rPr>
              <w:t>Intelligence artificielle et automatisation avancée</w:t>
            </w:r>
          </w:p>
        </w:tc>
        <w:tc>
          <w:tcPr>
            <w:tcW w:w="0" w:type="auto"/>
            <w:hideMark/>
          </w:tcPr>
          <w:p w14:paraId="72FEB72A" w14:textId="77777777" w:rsidR="000F7B00" w:rsidRPr="00C74187" w:rsidRDefault="000F7B00" w:rsidP="00C74187">
            <w:pPr>
              <w:jc w:val="left"/>
              <w:rPr>
                <w:rFonts w:ascii="Calibri" w:hAnsi="Calibri" w:cs="Calibri"/>
                <w:sz w:val="20"/>
              </w:rPr>
            </w:pPr>
            <w:r w:rsidRPr="00C74187">
              <w:rPr>
                <w:rFonts w:ascii="Calibri" w:hAnsi="Calibri" w:cs="Calibri"/>
                <w:sz w:val="20"/>
              </w:rPr>
              <w:t>Traitement automatique de la donnée et apprentissage.</w:t>
            </w:r>
          </w:p>
        </w:tc>
        <w:tc>
          <w:tcPr>
            <w:tcW w:w="0" w:type="auto"/>
            <w:hideMark/>
          </w:tcPr>
          <w:p w14:paraId="30C5B8E6" w14:textId="77777777" w:rsidR="000F7B00" w:rsidRPr="00C74187" w:rsidRDefault="000F7B00" w:rsidP="00C74187">
            <w:pPr>
              <w:jc w:val="left"/>
              <w:rPr>
                <w:rFonts w:ascii="Calibri" w:hAnsi="Calibri" w:cs="Calibri"/>
                <w:sz w:val="20"/>
              </w:rPr>
            </w:pPr>
            <w:proofErr w:type="spellStart"/>
            <w:r w:rsidRPr="00C74187">
              <w:rPr>
                <w:rFonts w:ascii="Calibri" w:hAnsi="Calibri" w:cs="Calibri"/>
                <w:sz w:val="20"/>
              </w:rPr>
              <w:t>Chatbots</w:t>
            </w:r>
            <w:proofErr w:type="spellEnd"/>
            <w:r w:rsidRPr="00C74187">
              <w:rPr>
                <w:rFonts w:ascii="Calibri" w:hAnsi="Calibri" w:cs="Calibri"/>
                <w:sz w:val="20"/>
              </w:rPr>
              <w:t>, IA prédictive, maintenance prédictive.</w:t>
            </w:r>
          </w:p>
        </w:tc>
        <w:tc>
          <w:tcPr>
            <w:tcW w:w="0" w:type="auto"/>
            <w:hideMark/>
          </w:tcPr>
          <w:p w14:paraId="2C532619" w14:textId="77777777" w:rsidR="000F7B00" w:rsidRPr="00C74187" w:rsidRDefault="000F7B00" w:rsidP="00C74187">
            <w:pPr>
              <w:jc w:val="left"/>
              <w:rPr>
                <w:rFonts w:ascii="Calibri" w:hAnsi="Calibri" w:cs="Calibri"/>
                <w:sz w:val="20"/>
              </w:rPr>
            </w:pPr>
            <w:r w:rsidRPr="00C74187">
              <w:rPr>
                <w:rFonts w:ascii="Calibri" w:hAnsi="Calibri" w:cs="Calibri"/>
                <w:sz w:val="20"/>
              </w:rPr>
              <w:t>Efficience et innovation.</w:t>
            </w:r>
          </w:p>
        </w:tc>
      </w:tr>
      <w:tr w:rsidR="000F7B00" w:rsidRPr="00C74187" w14:paraId="677EFC42" w14:textId="77777777" w:rsidTr="00C74187">
        <w:tc>
          <w:tcPr>
            <w:tcW w:w="0" w:type="auto"/>
            <w:hideMark/>
          </w:tcPr>
          <w:p w14:paraId="6FF06AFC" w14:textId="77777777" w:rsidR="000F7B00" w:rsidRPr="00C74187" w:rsidRDefault="000F7B00" w:rsidP="00C74187">
            <w:pPr>
              <w:jc w:val="left"/>
              <w:rPr>
                <w:rFonts w:ascii="Calibri" w:hAnsi="Calibri" w:cs="Calibri"/>
                <w:sz w:val="20"/>
              </w:rPr>
            </w:pPr>
            <w:r w:rsidRPr="00C74187">
              <w:rPr>
                <w:rFonts w:ascii="Calibri" w:hAnsi="Calibri" w:cs="Calibri"/>
                <w:b/>
                <w:bCs/>
                <w:sz w:val="20"/>
              </w:rPr>
              <w:t>Convergence IT/OT</w:t>
            </w:r>
          </w:p>
        </w:tc>
        <w:tc>
          <w:tcPr>
            <w:tcW w:w="0" w:type="auto"/>
            <w:hideMark/>
          </w:tcPr>
          <w:p w14:paraId="754529A6" w14:textId="77777777" w:rsidR="000F7B00" w:rsidRPr="00C74187" w:rsidRDefault="000F7B00" w:rsidP="00C74187">
            <w:pPr>
              <w:jc w:val="left"/>
              <w:rPr>
                <w:rFonts w:ascii="Calibri" w:hAnsi="Calibri" w:cs="Calibri"/>
                <w:sz w:val="20"/>
              </w:rPr>
            </w:pPr>
            <w:r w:rsidRPr="00C74187">
              <w:rPr>
                <w:rFonts w:ascii="Calibri" w:hAnsi="Calibri" w:cs="Calibri"/>
                <w:sz w:val="20"/>
              </w:rPr>
              <w:t>Fusion des systèmes de gestion et des systèmes industriels.</w:t>
            </w:r>
          </w:p>
        </w:tc>
        <w:tc>
          <w:tcPr>
            <w:tcW w:w="0" w:type="auto"/>
            <w:hideMark/>
          </w:tcPr>
          <w:p w14:paraId="795BB8EA" w14:textId="77777777" w:rsidR="000F7B00" w:rsidRPr="00C74187" w:rsidRDefault="000F7B00" w:rsidP="00C74187">
            <w:pPr>
              <w:jc w:val="left"/>
              <w:rPr>
                <w:rFonts w:ascii="Calibri" w:hAnsi="Calibri" w:cs="Calibri"/>
                <w:sz w:val="20"/>
              </w:rPr>
            </w:pPr>
            <w:r w:rsidRPr="00C74187">
              <w:rPr>
                <w:rFonts w:ascii="Calibri" w:hAnsi="Calibri" w:cs="Calibri"/>
                <w:sz w:val="20"/>
              </w:rPr>
              <w:t>Capteurs IoT, jumeaux numériques, SI industriel.</w:t>
            </w:r>
          </w:p>
        </w:tc>
        <w:tc>
          <w:tcPr>
            <w:tcW w:w="0" w:type="auto"/>
            <w:hideMark/>
          </w:tcPr>
          <w:p w14:paraId="4ED1F3B3" w14:textId="77777777" w:rsidR="000F7B00" w:rsidRPr="00C74187" w:rsidRDefault="000F7B00" w:rsidP="00C74187">
            <w:pPr>
              <w:jc w:val="left"/>
              <w:rPr>
                <w:rFonts w:ascii="Calibri" w:hAnsi="Calibri" w:cs="Calibri"/>
                <w:sz w:val="20"/>
              </w:rPr>
            </w:pPr>
            <w:r w:rsidRPr="00C74187">
              <w:rPr>
                <w:rFonts w:ascii="Calibri" w:hAnsi="Calibri" w:cs="Calibri"/>
                <w:sz w:val="20"/>
              </w:rPr>
              <w:t>Réactivité et pilotage temps réel.</w:t>
            </w:r>
          </w:p>
        </w:tc>
      </w:tr>
    </w:tbl>
    <w:p w14:paraId="0DA04ED7" w14:textId="77777777" w:rsidR="000F7B00" w:rsidRPr="000F7B00" w:rsidRDefault="000F7B00" w:rsidP="00C74187">
      <w:pPr>
        <w:spacing w:after="0" w:line="240" w:lineRule="auto"/>
      </w:pPr>
      <w:r w:rsidRPr="000F7B00">
        <w:rPr>
          <w:rFonts w:ascii="Segoe UI Emoji" w:hAnsi="Segoe UI Emoji" w:cs="Segoe UI Emoji"/>
        </w:rPr>
        <w:t>💬</w:t>
      </w:r>
      <w:r w:rsidRPr="000F7B00">
        <w:t xml:space="preserve"> Depuis le SIA, l’évolution du SI s’oriente vers la </w:t>
      </w:r>
      <w:r w:rsidRPr="000F7B00">
        <w:rPr>
          <w:b/>
          <w:bCs/>
        </w:rPr>
        <w:t>résilience, l’autonomie et l’intelligence décisionnelle</w:t>
      </w:r>
      <w:r w:rsidRPr="000F7B00">
        <w:t>.</w:t>
      </w:r>
    </w:p>
    <w:p w14:paraId="638A85A5" w14:textId="77777777" w:rsidR="000F7B00" w:rsidRPr="000F7B00" w:rsidRDefault="000F7B00" w:rsidP="00C74187">
      <w:pPr>
        <w:spacing w:after="0" w:line="240" w:lineRule="auto"/>
        <w:rPr>
          <w:b/>
          <w:bCs/>
        </w:rPr>
      </w:pPr>
      <w:r w:rsidRPr="000F7B00">
        <w:rPr>
          <w:rFonts w:ascii="Segoe UI Emoji" w:hAnsi="Segoe UI Emoji" w:cs="Segoe UI Emoji"/>
          <w:b/>
          <w:bCs/>
        </w:rPr>
        <w:t>🧩</w:t>
      </w:r>
      <w:r w:rsidRPr="000F7B00">
        <w:rPr>
          <w:b/>
          <w:bCs/>
        </w:rPr>
        <w:t xml:space="preserve"> Synthèse des deux trajectoires</w:t>
      </w:r>
    </w:p>
    <w:tbl>
      <w:tblPr>
        <w:tblStyle w:val="Grilledutableau"/>
        <w:tblW w:w="0" w:type="auto"/>
        <w:tblLook w:val="04A0" w:firstRow="1" w:lastRow="0" w:firstColumn="1" w:lastColumn="0" w:noHBand="0" w:noVBand="1"/>
      </w:tblPr>
      <w:tblGrid>
        <w:gridCol w:w="1232"/>
        <w:gridCol w:w="5908"/>
        <w:gridCol w:w="3316"/>
      </w:tblGrid>
      <w:tr w:rsidR="000F7B00" w:rsidRPr="00C74187" w14:paraId="58775801" w14:textId="77777777" w:rsidTr="00C74187">
        <w:trPr>
          <w:tblHeader/>
        </w:trPr>
        <w:tc>
          <w:tcPr>
            <w:tcW w:w="0" w:type="auto"/>
            <w:hideMark/>
          </w:tcPr>
          <w:p w14:paraId="5435F244" w14:textId="77777777" w:rsidR="000F7B00" w:rsidRPr="00C74187" w:rsidRDefault="000F7B00" w:rsidP="00C74187">
            <w:pPr>
              <w:jc w:val="left"/>
              <w:rPr>
                <w:rFonts w:ascii="Calibri" w:hAnsi="Calibri" w:cs="Calibri"/>
                <w:b/>
                <w:bCs/>
                <w:sz w:val="20"/>
              </w:rPr>
            </w:pPr>
            <w:r w:rsidRPr="00C74187">
              <w:rPr>
                <w:rFonts w:ascii="Calibri" w:hAnsi="Calibri" w:cs="Calibri"/>
                <w:b/>
                <w:bCs/>
                <w:sz w:val="20"/>
              </w:rPr>
              <w:t>Origine</w:t>
            </w:r>
          </w:p>
        </w:tc>
        <w:tc>
          <w:tcPr>
            <w:tcW w:w="0" w:type="auto"/>
            <w:hideMark/>
          </w:tcPr>
          <w:p w14:paraId="349C070D" w14:textId="77777777" w:rsidR="000F7B00" w:rsidRPr="00C74187" w:rsidRDefault="000F7B00" w:rsidP="00C74187">
            <w:pPr>
              <w:jc w:val="left"/>
              <w:rPr>
                <w:rFonts w:ascii="Calibri" w:hAnsi="Calibri" w:cs="Calibri"/>
                <w:b/>
                <w:bCs/>
                <w:sz w:val="20"/>
              </w:rPr>
            </w:pPr>
            <w:r w:rsidRPr="00C74187">
              <w:rPr>
                <w:rFonts w:ascii="Calibri" w:hAnsi="Calibri" w:cs="Calibri"/>
                <w:b/>
                <w:bCs/>
                <w:sz w:val="20"/>
              </w:rPr>
              <w:t>Palier d’évolution</w:t>
            </w:r>
          </w:p>
        </w:tc>
        <w:tc>
          <w:tcPr>
            <w:tcW w:w="0" w:type="auto"/>
            <w:hideMark/>
          </w:tcPr>
          <w:p w14:paraId="60C74A39" w14:textId="77777777" w:rsidR="000F7B00" w:rsidRPr="00C74187" w:rsidRDefault="000F7B00" w:rsidP="00C74187">
            <w:pPr>
              <w:jc w:val="left"/>
              <w:rPr>
                <w:rFonts w:ascii="Calibri" w:hAnsi="Calibri" w:cs="Calibri"/>
                <w:b/>
                <w:bCs/>
                <w:sz w:val="20"/>
              </w:rPr>
            </w:pPr>
            <w:r w:rsidRPr="00C74187">
              <w:rPr>
                <w:rFonts w:ascii="Calibri" w:hAnsi="Calibri" w:cs="Calibri"/>
                <w:b/>
                <w:bCs/>
                <w:sz w:val="20"/>
              </w:rPr>
              <w:t>Finalité</w:t>
            </w:r>
          </w:p>
        </w:tc>
      </w:tr>
      <w:tr w:rsidR="000F7B00" w:rsidRPr="00C74187" w14:paraId="1700FFB7" w14:textId="77777777" w:rsidTr="00C74187">
        <w:tc>
          <w:tcPr>
            <w:tcW w:w="0" w:type="auto"/>
            <w:hideMark/>
          </w:tcPr>
          <w:p w14:paraId="7577FC65" w14:textId="77777777" w:rsidR="000F7B00" w:rsidRPr="00C74187" w:rsidRDefault="000F7B00" w:rsidP="00C74187">
            <w:pPr>
              <w:jc w:val="left"/>
              <w:rPr>
                <w:rFonts w:ascii="Calibri" w:hAnsi="Calibri" w:cs="Calibri"/>
                <w:sz w:val="20"/>
              </w:rPr>
            </w:pPr>
            <w:r w:rsidRPr="00C74187">
              <w:rPr>
                <w:rFonts w:ascii="Calibri" w:hAnsi="Calibri" w:cs="Calibri"/>
                <w:b/>
                <w:bCs/>
                <w:sz w:val="20"/>
              </w:rPr>
              <w:t>Depuis le SINA</w:t>
            </w:r>
          </w:p>
        </w:tc>
        <w:tc>
          <w:tcPr>
            <w:tcW w:w="0" w:type="auto"/>
            <w:hideMark/>
          </w:tcPr>
          <w:p w14:paraId="171AAD53" w14:textId="77777777" w:rsidR="000F7B00" w:rsidRPr="00C74187" w:rsidRDefault="000F7B00" w:rsidP="00C74187">
            <w:pPr>
              <w:jc w:val="left"/>
              <w:rPr>
                <w:rFonts w:ascii="Calibri" w:hAnsi="Calibri" w:cs="Calibri"/>
                <w:sz w:val="20"/>
              </w:rPr>
            </w:pPr>
            <w:r w:rsidRPr="00C74187">
              <w:rPr>
                <w:rFonts w:ascii="Calibri" w:hAnsi="Calibri" w:cs="Calibri"/>
                <w:sz w:val="20"/>
              </w:rPr>
              <w:t>Automatisation → numérisation → productivité.</w:t>
            </w:r>
          </w:p>
        </w:tc>
        <w:tc>
          <w:tcPr>
            <w:tcW w:w="0" w:type="auto"/>
            <w:hideMark/>
          </w:tcPr>
          <w:p w14:paraId="7577FBBA" w14:textId="77777777" w:rsidR="000F7B00" w:rsidRPr="00C74187" w:rsidRDefault="000F7B00" w:rsidP="00C74187">
            <w:pPr>
              <w:jc w:val="left"/>
              <w:rPr>
                <w:rFonts w:ascii="Calibri" w:hAnsi="Calibri" w:cs="Calibri"/>
                <w:sz w:val="20"/>
              </w:rPr>
            </w:pPr>
            <w:r w:rsidRPr="00C74187">
              <w:rPr>
                <w:rFonts w:ascii="Calibri" w:hAnsi="Calibri" w:cs="Calibri"/>
                <w:sz w:val="20"/>
              </w:rPr>
              <w:t>Améliorer la rapidité et la fiabilité des traitements.</w:t>
            </w:r>
          </w:p>
        </w:tc>
      </w:tr>
      <w:tr w:rsidR="000F7B00" w:rsidRPr="00C74187" w14:paraId="73328FA8" w14:textId="77777777" w:rsidTr="00C74187">
        <w:tc>
          <w:tcPr>
            <w:tcW w:w="0" w:type="auto"/>
            <w:hideMark/>
          </w:tcPr>
          <w:p w14:paraId="1C5ECDC0" w14:textId="77777777" w:rsidR="000F7B00" w:rsidRPr="00C74187" w:rsidRDefault="000F7B00" w:rsidP="00C74187">
            <w:pPr>
              <w:jc w:val="left"/>
              <w:rPr>
                <w:rFonts w:ascii="Calibri" w:hAnsi="Calibri" w:cs="Calibri"/>
                <w:sz w:val="20"/>
              </w:rPr>
            </w:pPr>
            <w:r w:rsidRPr="00C74187">
              <w:rPr>
                <w:rFonts w:ascii="Calibri" w:hAnsi="Calibri" w:cs="Calibri"/>
                <w:b/>
                <w:bCs/>
                <w:sz w:val="20"/>
              </w:rPr>
              <w:t>Depuis le SIA</w:t>
            </w:r>
          </w:p>
        </w:tc>
        <w:tc>
          <w:tcPr>
            <w:tcW w:w="0" w:type="auto"/>
            <w:hideMark/>
          </w:tcPr>
          <w:p w14:paraId="7C07F00D" w14:textId="77777777" w:rsidR="00636B8E" w:rsidRPr="00C74187" w:rsidRDefault="00000000" w:rsidP="00C74187">
            <w:pPr>
              <w:jc w:val="left"/>
              <w:rPr>
                <w:rFonts w:ascii="Calibri" w:hAnsi="Calibri" w:cs="Calibri"/>
                <w:sz w:val="20"/>
              </w:rPr>
            </w:pPr>
            <w:r w:rsidRPr="00C74187">
              <w:rPr>
                <w:rFonts w:ascii="Calibri" w:hAnsi="Calibri" w:cs="Calibri"/>
                <w:sz w:val="20"/>
              </w:rPr>
              <w:t>Interopérabilité, analyse, gouvernance des données et intégration raisonnée d’automatisations.</w:t>
            </w:r>
          </w:p>
        </w:tc>
        <w:tc>
          <w:tcPr>
            <w:tcW w:w="0" w:type="auto"/>
            <w:hideMark/>
          </w:tcPr>
          <w:p w14:paraId="5791107E" w14:textId="77777777" w:rsidR="000F7B00" w:rsidRPr="00C74187" w:rsidRDefault="000F7B00" w:rsidP="00C74187">
            <w:pPr>
              <w:jc w:val="left"/>
              <w:rPr>
                <w:rFonts w:ascii="Calibri" w:hAnsi="Calibri" w:cs="Calibri"/>
                <w:sz w:val="20"/>
              </w:rPr>
            </w:pPr>
            <w:r w:rsidRPr="00C74187">
              <w:rPr>
                <w:rFonts w:ascii="Calibri" w:hAnsi="Calibri" w:cs="Calibri"/>
                <w:sz w:val="20"/>
              </w:rPr>
              <w:t>Accroître la performance et la valeur stratégique.</w:t>
            </w:r>
          </w:p>
        </w:tc>
      </w:tr>
    </w:tbl>
    <w:p w14:paraId="50B5B4FE" w14:textId="77777777" w:rsidR="00C74187" w:rsidRDefault="000F7B00" w:rsidP="00C74187">
      <w:pPr>
        <w:spacing w:after="0" w:line="240" w:lineRule="auto"/>
      </w:pPr>
      <w:r w:rsidRPr="000F7B00">
        <w:rPr>
          <w:rFonts w:ascii="Segoe UI Emoji" w:hAnsi="Segoe UI Emoji" w:cs="Segoe UI Emoji"/>
        </w:rPr>
        <w:lastRenderedPageBreak/>
        <w:t>🎯</w:t>
      </w:r>
      <w:r w:rsidRPr="000F7B00">
        <w:t xml:space="preserve"> En combinant ces trajectoires, le SI passe d’un </w:t>
      </w:r>
      <w:r w:rsidRPr="000F7B00">
        <w:rPr>
          <w:b/>
          <w:bCs/>
        </w:rPr>
        <w:t>outil administratif</w:t>
      </w:r>
      <w:r w:rsidRPr="000F7B00">
        <w:t xml:space="preserve"> à un </w:t>
      </w:r>
      <w:r w:rsidRPr="000F7B00">
        <w:rPr>
          <w:b/>
          <w:bCs/>
        </w:rPr>
        <w:t>système stratégique et décisionnel</w:t>
      </w:r>
      <w:r w:rsidRPr="000F7B00">
        <w:t>.</w:t>
      </w:r>
    </w:p>
    <w:p w14:paraId="33BC88B1" w14:textId="23C3680D" w:rsidR="00636B8E" w:rsidRDefault="00000000" w:rsidP="00C74187">
      <w:pPr>
        <w:spacing w:after="0" w:line="240" w:lineRule="auto"/>
      </w:pPr>
      <w:r>
        <w:t>Pour approfondir</w:t>
      </w:r>
      <w:r w:rsidR="00C74187">
        <w:t> :</w:t>
      </w:r>
      <w:r>
        <w:t xml:space="preserve"> ISO/IEC 27001:2022, https://www.iso.org/fr/standard/27001</w:t>
      </w:r>
      <w:r w:rsidR="00C74187">
        <w:t> ;</w:t>
      </w:r>
      <w:r>
        <w:t xml:space="preserve"> ISO 9000, https://www.iso.org/fr/standard/45481.html</w:t>
      </w:r>
      <w:r w:rsidR="00C74187">
        <w:t> ;</w:t>
      </w:r>
      <w:r>
        <w:t xml:space="preserve"> NIST CSF 2.0, https://www.nist.gov/publications/nist-cybersecurity-framework-csf-20</w:t>
      </w:r>
    </w:p>
    <w:sectPr w:rsidR="00636B8E" w:rsidSect="00C74187">
      <w:footerReference w:type="default" r:id="rId7"/>
      <w:pgSz w:w="11906" w:h="16838"/>
      <w:pgMar w:top="720" w:right="720" w:bottom="720" w:left="72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18276A" w14:textId="77777777" w:rsidR="00C61CDF" w:rsidRDefault="00C61CDF" w:rsidP="00B870C7">
      <w:r>
        <w:separator/>
      </w:r>
    </w:p>
  </w:endnote>
  <w:endnote w:type="continuationSeparator" w:id="0">
    <w:p w14:paraId="0EE6B903" w14:textId="77777777" w:rsidR="00C61CDF" w:rsidRDefault="00C61CDF" w:rsidP="00B870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Emoji">
    <w:panose1 w:val="020B0502040204020203"/>
    <w:charset w:val="00"/>
    <w:family w:val="swiss"/>
    <w:pitch w:val="variable"/>
    <w:sig w:usb0="00000003" w:usb1="02000000" w:usb2="00000000" w:usb3="00000000" w:csb0="0000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046FC0" w14:textId="77777777" w:rsidR="00580F46" w:rsidRPr="00580F46" w:rsidRDefault="00580F46" w:rsidP="003028E5">
    <w:pPr>
      <w:pStyle w:val="Pieddepage"/>
      <w:tabs>
        <w:tab w:val="clear" w:pos="9072"/>
        <w:tab w:val="right" w:pos="10466"/>
      </w:tabs>
    </w:pPr>
    <w:r w:rsidRPr="00580F46">
      <w:rPr>
        <w:noProof/>
        <w:color w:val="156082" w:themeColor="accent1"/>
      </w:rPr>
      <w:drawing>
        <wp:inline distT="0" distB="0" distL="0" distR="0" wp14:anchorId="6D881229" wp14:editId="4350CF01">
          <wp:extent cx="1213794" cy="219075"/>
          <wp:effectExtent l="0" t="0" r="5715" b="0"/>
          <wp:docPr id="1137210962"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7210962" name=""/>
                  <pic:cNvPicPr/>
                </pic:nvPicPr>
                <pic:blipFill>
                  <a:blip r:embed="rId1"/>
                  <a:stretch>
                    <a:fillRect/>
                  </a:stretch>
                </pic:blipFill>
                <pic:spPr>
                  <a:xfrm>
                    <a:off x="0" y="0"/>
                    <a:ext cx="1221249" cy="220421"/>
                  </a:xfrm>
                  <a:prstGeom prst="rect">
                    <a:avLst/>
                  </a:prstGeom>
                </pic:spPr>
              </pic:pic>
            </a:graphicData>
          </a:graphic>
        </wp:inline>
      </w:drawing>
    </w:r>
    <w:r w:rsidRPr="00580F46">
      <w:rPr>
        <w:color w:val="156082" w:themeColor="accent1"/>
      </w:rPr>
      <w:t xml:space="preserve"> </w:t>
    </w:r>
    <w:r>
      <w:rPr>
        <w:color w:val="156082" w:themeColor="accent1"/>
      </w:rPr>
      <w:tab/>
    </w:r>
    <w:r>
      <w:rPr>
        <w:color w:val="156082" w:themeColor="accent1"/>
      </w:rPr>
      <w:tab/>
    </w:r>
    <w:r w:rsidRPr="00580F46">
      <w:t xml:space="preserve">p. </w:t>
    </w:r>
    <w:r w:rsidRPr="00580F46">
      <w:fldChar w:fldCharType="begin"/>
    </w:r>
    <w:r w:rsidRPr="00580F46">
      <w:instrText>PAGE  \* Arabic</w:instrText>
    </w:r>
    <w:r w:rsidRPr="00580F46">
      <w:fldChar w:fldCharType="separate"/>
    </w:r>
    <w:r w:rsidRPr="00580F46">
      <w:t>1</w:t>
    </w:r>
    <w:r w:rsidRPr="00580F46">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D65478" w14:textId="77777777" w:rsidR="00C61CDF" w:rsidRDefault="00C61CDF" w:rsidP="00B870C7">
      <w:r>
        <w:separator/>
      </w:r>
    </w:p>
  </w:footnote>
  <w:footnote w:type="continuationSeparator" w:id="0">
    <w:p w14:paraId="2299D03E" w14:textId="77777777" w:rsidR="00C61CDF" w:rsidRDefault="00C61CDF" w:rsidP="00B870C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A780828"/>
    <w:multiLevelType w:val="multilevel"/>
    <w:tmpl w:val="301054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7B7228B8"/>
    <w:multiLevelType w:val="multilevel"/>
    <w:tmpl w:val="A176B3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797142695">
    <w:abstractNumId w:val="0"/>
  </w:num>
  <w:num w:numId="2" w16cid:durableId="1703167291">
    <w:abstractNumId w:val="1"/>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247E"/>
    <w:rsid w:val="00011214"/>
    <w:rsid w:val="00013702"/>
    <w:rsid w:val="00013B76"/>
    <w:rsid w:val="00014644"/>
    <w:rsid w:val="000326D2"/>
    <w:rsid w:val="000F1177"/>
    <w:rsid w:val="000F7B00"/>
    <w:rsid w:val="0013594E"/>
    <w:rsid w:val="00135CDD"/>
    <w:rsid w:val="001666DB"/>
    <w:rsid w:val="001B03F3"/>
    <w:rsid w:val="001C2E5A"/>
    <w:rsid w:val="001F5435"/>
    <w:rsid w:val="001F64D4"/>
    <w:rsid w:val="002439F2"/>
    <w:rsid w:val="002569B2"/>
    <w:rsid w:val="0026538A"/>
    <w:rsid w:val="00287044"/>
    <w:rsid w:val="00297FD8"/>
    <w:rsid w:val="002A54D6"/>
    <w:rsid w:val="002F2663"/>
    <w:rsid w:val="003028E5"/>
    <w:rsid w:val="00305E8E"/>
    <w:rsid w:val="00333BFC"/>
    <w:rsid w:val="003437AD"/>
    <w:rsid w:val="00355840"/>
    <w:rsid w:val="003661B1"/>
    <w:rsid w:val="00375473"/>
    <w:rsid w:val="003C4213"/>
    <w:rsid w:val="003D4892"/>
    <w:rsid w:val="003D6FF4"/>
    <w:rsid w:val="003E0E50"/>
    <w:rsid w:val="003E639A"/>
    <w:rsid w:val="003E73E6"/>
    <w:rsid w:val="003F7676"/>
    <w:rsid w:val="004203D1"/>
    <w:rsid w:val="0042534D"/>
    <w:rsid w:val="004A6242"/>
    <w:rsid w:val="004B49D6"/>
    <w:rsid w:val="004D247E"/>
    <w:rsid w:val="004E074F"/>
    <w:rsid w:val="0050112B"/>
    <w:rsid w:val="005221A8"/>
    <w:rsid w:val="00580F46"/>
    <w:rsid w:val="0059110C"/>
    <w:rsid w:val="005962A0"/>
    <w:rsid w:val="005B4561"/>
    <w:rsid w:val="005E0DC3"/>
    <w:rsid w:val="00600E05"/>
    <w:rsid w:val="00613FDE"/>
    <w:rsid w:val="00632C58"/>
    <w:rsid w:val="00632EDC"/>
    <w:rsid w:val="00636B8E"/>
    <w:rsid w:val="006460AB"/>
    <w:rsid w:val="00665A35"/>
    <w:rsid w:val="006C0415"/>
    <w:rsid w:val="006C6336"/>
    <w:rsid w:val="006D099F"/>
    <w:rsid w:val="00700DA4"/>
    <w:rsid w:val="00713AC4"/>
    <w:rsid w:val="00757EB3"/>
    <w:rsid w:val="007A1353"/>
    <w:rsid w:val="007D52B4"/>
    <w:rsid w:val="007E1FF6"/>
    <w:rsid w:val="00800F72"/>
    <w:rsid w:val="00821279"/>
    <w:rsid w:val="008476EE"/>
    <w:rsid w:val="00867BAB"/>
    <w:rsid w:val="00867FF2"/>
    <w:rsid w:val="008D1926"/>
    <w:rsid w:val="009115B1"/>
    <w:rsid w:val="00911C39"/>
    <w:rsid w:val="00931ED3"/>
    <w:rsid w:val="00964240"/>
    <w:rsid w:val="00977695"/>
    <w:rsid w:val="00991621"/>
    <w:rsid w:val="009B0B53"/>
    <w:rsid w:val="009B4249"/>
    <w:rsid w:val="009E21C2"/>
    <w:rsid w:val="009F317A"/>
    <w:rsid w:val="00A4325D"/>
    <w:rsid w:val="00A52414"/>
    <w:rsid w:val="00A662DC"/>
    <w:rsid w:val="00A94D14"/>
    <w:rsid w:val="00A9715C"/>
    <w:rsid w:val="00AA6814"/>
    <w:rsid w:val="00AB6315"/>
    <w:rsid w:val="00B507B1"/>
    <w:rsid w:val="00B649B3"/>
    <w:rsid w:val="00B65E49"/>
    <w:rsid w:val="00B870C7"/>
    <w:rsid w:val="00B9030D"/>
    <w:rsid w:val="00B906BB"/>
    <w:rsid w:val="00B9666C"/>
    <w:rsid w:val="00BA73A4"/>
    <w:rsid w:val="00BB2B03"/>
    <w:rsid w:val="00BD66AA"/>
    <w:rsid w:val="00C03F1D"/>
    <w:rsid w:val="00C43ED4"/>
    <w:rsid w:val="00C61CDF"/>
    <w:rsid w:val="00C73475"/>
    <w:rsid w:val="00C74187"/>
    <w:rsid w:val="00C825EC"/>
    <w:rsid w:val="00C87F06"/>
    <w:rsid w:val="00CA4633"/>
    <w:rsid w:val="00CC4DE7"/>
    <w:rsid w:val="00D00629"/>
    <w:rsid w:val="00D503E9"/>
    <w:rsid w:val="00DA6E3D"/>
    <w:rsid w:val="00DD2902"/>
    <w:rsid w:val="00DE760B"/>
    <w:rsid w:val="00E07964"/>
    <w:rsid w:val="00E5775F"/>
    <w:rsid w:val="00E9016D"/>
    <w:rsid w:val="00F07238"/>
    <w:rsid w:val="00F26BAE"/>
    <w:rsid w:val="00F4784B"/>
    <w:rsid w:val="00F47F65"/>
    <w:rsid w:val="00F73967"/>
    <w:rsid w:val="00F83D28"/>
    <w:rsid w:val="00FC5D7F"/>
    <w:rsid w:val="00FD547C"/>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49F7FA7"/>
  <w15:chartTrackingRefBased/>
  <w15:docId w15:val="{13132CFF-2D02-454C-9AB4-74585107C4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fr-F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870C7"/>
    <w:pPr>
      <w:jc w:val="both"/>
    </w:pPr>
  </w:style>
  <w:style w:type="paragraph" w:styleId="Titre1">
    <w:name w:val="heading 1"/>
    <w:basedOn w:val="Normal"/>
    <w:next w:val="Normal"/>
    <w:link w:val="Titre1Car"/>
    <w:uiPriority w:val="9"/>
    <w:qFormat/>
    <w:rsid w:val="004D247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re2">
    <w:name w:val="heading 2"/>
    <w:basedOn w:val="Normal"/>
    <w:next w:val="Normal"/>
    <w:link w:val="Titre2Car"/>
    <w:uiPriority w:val="9"/>
    <w:unhideWhenUsed/>
    <w:qFormat/>
    <w:rsid w:val="004D247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re3">
    <w:name w:val="heading 3"/>
    <w:basedOn w:val="Normal"/>
    <w:next w:val="Normal"/>
    <w:link w:val="Titre3Car"/>
    <w:uiPriority w:val="9"/>
    <w:unhideWhenUsed/>
    <w:qFormat/>
    <w:rsid w:val="004D247E"/>
    <w:pPr>
      <w:keepNext/>
      <w:keepLines/>
      <w:spacing w:before="160" w:after="80"/>
      <w:outlineLvl w:val="2"/>
    </w:pPr>
    <w:rPr>
      <w:rFonts w:eastAsiaTheme="majorEastAsia" w:cstheme="majorBidi"/>
      <w:color w:val="0F4761" w:themeColor="accent1" w:themeShade="BF"/>
      <w:sz w:val="28"/>
      <w:szCs w:val="28"/>
    </w:rPr>
  </w:style>
  <w:style w:type="paragraph" w:styleId="Titre4">
    <w:name w:val="heading 4"/>
    <w:basedOn w:val="Normal"/>
    <w:next w:val="Normal"/>
    <w:link w:val="Titre4Car"/>
    <w:uiPriority w:val="9"/>
    <w:unhideWhenUsed/>
    <w:qFormat/>
    <w:rsid w:val="004D247E"/>
    <w:pPr>
      <w:keepNext/>
      <w:keepLines/>
      <w:spacing w:before="80" w:after="40"/>
      <w:outlineLvl w:val="3"/>
    </w:pPr>
    <w:rPr>
      <w:rFonts w:eastAsiaTheme="majorEastAsia" w:cstheme="majorBidi"/>
      <w:i/>
      <w:iCs/>
      <w:color w:val="0F4761" w:themeColor="accent1" w:themeShade="BF"/>
    </w:rPr>
  </w:style>
  <w:style w:type="paragraph" w:styleId="Titre5">
    <w:name w:val="heading 5"/>
    <w:basedOn w:val="Normal"/>
    <w:next w:val="Normal"/>
    <w:link w:val="Titre5Car"/>
    <w:uiPriority w:val="9"/>
    <w:unhideWhenUsed/>
    <w:qFormat/>
    <w:rsid w:val="004D247E"/>
    <w:pPr>
      <w:keepNext/>
      <w:keepLines/>
      <w:spacing w:before="80" w:after="40"/>
      <w:outlineLvl w:val="4"/>
    </w:pPr>
    <w:rPr>
      <w:rFonts w:eastAsiaTheme="majorEastAsia" w:cstheme="majorBidi"/>
      <w:color w:val="0F4761" w:themeColor="accent1" w:themeShade="BF"/>
    </w:rPr>
  </w:style>
  <w:style w:type="paragraph" w:styleId="Titre6">
    <w:name w:val="heading 6"/>
    <w:basedOn w:val="Normal"/>
    <w:next w:val="Normal"/>
    <w:link w:val="Titre6Car"/>
    <w:uiPriority w:val="9"/>
    <w:semiHidden/>
    <w:unhideWhenUsed/>
    <w:qFormat/>
    <w:rsid w:val="004D247E"/>
    <w:pPr>
      <w:keepNext/>
      <w:keepLines/>
      <w:spacing w:before="40" w:after="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4D247E"/>
    <w:pPr>
      <w:keepNext/>
      <w:keepLines/>
      <w:spacing w:before="40" w:after="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4D247E"/>
    <w:pPr>
      <w:keepNext/>
      <w:keepLines/>
      <w:spacing w:after="0"/>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4D247E"/>
    <w:pPr>
      <w:keepNext/>
      <w:keepLines/>
      <w:spacing w:after="0"/>
      <w:outlineLvl w:val="8"/>
    </w:pPr>
    <w:rPr>
      <w:rFonts w:eastAsiaTheme="majorEastAsia"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4D247E"/>
    <w:rPr>
      <w:rFonts w:asciiTheme="majorHAnsi" w:eastAsiaTheme="majorEastAsia" w:hAnsiTheme="majorHAnsi" w:cstheme="majorBidi"/>
      <w:color w:val="0F4761" w:themeColor="accent1" w:themeShade="BF"/>
      <w:sz w:val="40"/>
      <w:szCs w:val="40"/>
    </w:rPr>
  </w:style>
  <w:style w:type="character" w:customStyle="1" w:styleId="Titre2Car">
    <w:name w:val="Titre 2 Car"/>
    <w:basedOn w:val="Policepardfaut"/>
    <w:link w:val="Titre2"/>
    <w:uiPriority w:val="9"/>
    <w:rsid w:val="004D247E"/>
    <w:rPr>
      <w:rFonts w:asciiTheme="majorHAnsi" w:eastAsiaTheme="majorEastAsia" w:hAnsiTheme="majorHAnsi" w:cstheme="majorBidi"/>
      <w:color w:val="0F4761" w:themeColor="accent1" w:themeShade="BF"/>
      <w:sz w:val="32"/>
      <w:szCs w:val="32"/>
    </w:rPr>
  </w:style>
  <w:style w:type="character" w:customStyle="1" w:styleId="Titre3Car">
    <w:name w:val="Titre 3 Car"/>
    <w:basedOn w:val="Policepardfaut"/>
    <w:link w:val="Titre3"/>
    <w:uiPriority w:val="9"/>
    <w:rsid w:val="004D247E"/>
    <w:rPr>
      <w:rFonts w:eastAsiaTheme="majorEastAsia" w:cstheme="majorBidi"/>
      <w:color w:val="0F4761" w:themeColor="accent1" w:themeShade="BF"/>
      <w:sz w:val="28"/>
      <w:szCs w:val="28"/>
    </w:rPr>
  </w:style>
  <w:style w:type="character" w:customStyle="1" w:styleId="Titre4Car">
    <w:name w:val="Titre 4 Car"/>
    <w:basedOn w:val="Policepardfaut"/>
    <w:link w:val="Titre4"/>
    <w:uiPriority w:val="9"/>
    <w:rsid w:val="004D247E"/>
    <w:rPr>
      <w:rFonts w:eastAsiaTheme="majorEastAsia" w:cstheme="majorBidi"/>
      <w:i/>
      <w:iCs/>
      <w:color w:val="0F4761" w:themeColor="accent1" w:themeShade="BF"/>
    </w:rPr>
  </w:style>
  <w:style w:type="character" w:customStyle="1" w:styleId="Titre5Car">
    <w:name w:val="Titre 5 Car"/>
    <w:basedOn w:val="Policepardfaut"/>
    <w:link w:val="Titre5"/>
    <w:uiPriority w:val="9"/>
    <w:rsid w:val="004D247E"/>
    <w:rPr>
      <w:rFonts w:eastAsiaTheme="majorEastAsia" w:cstheme="majorBidi"/>
      <w:color w:val="0F4761" w:themeColor="accent1" w:themeShade="BF"/>
    </w:rPr>
  </w:style>
  <w:style w:type="character" w:customStyle="1" w:styleId="Titre6Car">
    <w:name w:val="Titre 6 Car"/>
    <w:basedOn w:val="Policepardfaut"/>
    <w:link w:val="Titre6"/>
    <w:uiPriority w:val="9"/>
    <w:semiHidden/>
    <w:rsid w:val="004D247E"/>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4D247E"/>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4D247E"/>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4D247E"/>
    <w:rPr>
      <w:rFonts w:eastAsiaTheme="majorEastAsia" w:cstheme="majorBidi"/>
      <w:color w:val="272727" w:themeColor="text1" w:themeTint="D8"/>
    </w:rPr>
  </w:style>
  <w:style w:type="paragraph" w:styleId="Titre">
    <w:name w:val="Title"/>
    <w:basedOn w:val="Normal"/>
    <w:next w:val="Normal"/>
    <w:link w:val="TitreCar"/>
    <w:uiPriority w:val="10"/>
    <w:qFormat/>
    <w:rsid w:val="004D247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4D247E"/>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4D247E"/>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4D247E"/>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4D247E"/>
    <w:pPr>
      <w:spacing w:before="160"/>
      <w:jc w:val="center"/>
    </w:pPr>
    <w:rPr>
      <w:i/>
      <w:iCs/>
      <w:color w:val="404040" w:themeColor="text1" w:themeTint="BF"/>
    </w:rPr>
  </w:style>
  <w:style w:type="character" w:customStyle="1" w:styleId="CitationCar">
    <w:name w:val="Citation Car"/>
    <w:basedOn w:val="Policepardfaut"/>
    <w:link w:val="Citation"/>
    <w:uiPriority w:val="29"/>
    <w:rsid w:val="004D247E"/>
    <w:rPr>
      <w:i/>
      <w:iCs/>
      <w:color w:val="404040" w:themeColor="text1" w:themeTint="BF"/>
    </w:rPr>
  </w:style>
  <w:style w:type="paragraph" w:styleId="Paragraphedeliste">
    <w:name w:val="List Paragraph"/>
    <w:basedOn w:val="Normal"/>
    <w:uiPriority w:val="34"/>
    <w:qFormat/>
    <w:rsid w:val="004D247E"/>
    <w:pPr>
      <w:ind w:left="720"/>
      <w:contextualSpacing/>
    </w:pPr>
  </w:style>
  <w:style w:type="character" w:styleId="Accentuationintense">
    <w:name w:val="Intense Emphasis"/>
    <w:basedOn w:val="Policepardfaut"/>
    <w:uiPriority w:val="21"/>
    <w:qFormat/>
    <w:rsid w:val="004D247E"/>
    <w:rPr>
      <w:i/>
      <w:iCs/>
      <w:color w:val="0F4761" w:themeColor="accent1" w:themeShade="BF"/>
    </w:rPr>
  </w:style>
  <w:style w:type="paragraph" w:styleId="Citationintense">
    <w:name w:val="Intense Quote"/>
    <w:basedOn w:val="Normal"/>
    <w:next w:val="Normal"/>
    <w:link w:val="CitationintenseCar"/>
    <w:uiPriority w:val="30"/>
    <w:qFormat/>
    <w:rsid w:val="004D247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onintenseCar">
    <w:name w:val="Citation intense Car"/>
    <w:basedOn w:val="Policepardfaut"/>
    <w:link w:val="Citationintense"/>
    <w:uiPriority w:val="30"/>
    <w:rsid w:val="004D247E"/>
    <w:rPr>
      <w:i/>
      <w:iCs/>
      <w:color w:val="0F4761" w:themeColor="accent1" w:themeShade="BF"/>
    </w:rPr>
  </w:style>
  <w:style w:type="character" w:styleId="Rfrenceintense">
    <w:name w:val="Intense Reference"/>
    <w:basedOn w:val="Policepardfaut"/>
    <w:uiPriority w:val="32"/>
    <w:qFormat/>
    <w:rsid w:val="004D247E"/>
    <w:rPr>
      <w:b/>
      <w:bCs/>
      <w:smallCaps/>
      <w:color w:val="0F4761" w:themeColor="accent1" w:themeShade="BF"/>
      <w:spacing w:val="5"/>
    </w:rPr>
  </w:style>
  <w:style w:type="character" w:styleId="Lienhypertexte">
    <w:name w:val="Hyperlink"/>
    <w:basedOn w:val="Policepardfaut"/>
    <w:uiPriority w:val="99"/>
    <w:unhideWhenUsed/>
    <w:rsid w:val="004D247E"/>
    <w:rPr>
      <w:color w:val="467886" w:themeColor="hyperlink"/>
      <w:u w:val="single"/>
    </w:rPr>
  </w:style>
  <w:style w:type="character" w:styleId="Mentionnonrsolue">
    <w:name w:val="Unresolved Mention"/>
    <w:basedOn w:val="Policepardfaut"/>
    <w:uiPriority w:val="99"/>
    <w:semiHidden/>
    <w:unhideWhenUsed/>
    <w:rsid w:val="004D247E"/>
    <w:rPr>
      <w:color w:val="605E5C"/>
      <w:shd w:val="clear" w:color="auto" w:fill="E1DFDD"/>
    </w:rPr>
  </w:style>
  <w:style w:type="paragraph" w:styleId="En-tte">
    <w:name w:val="header"/>
    <w:basedOn w:val="Normal"/>
    <w:link w:val="En-tteCar"/>
    <w:uiPriority w:val="99"/>
    <w:unhideWhenUsed/>
    <w:rsid w:val="00580F46"/>
    <w:pPr>
      <w:tabs>
        <w:tab w:val="center" w:pos="4536"/>
        <w:tab w:val="right" w:pos="9072"/>
      </w:tabs>
      <w:spacing w:after="0" w:line="240" w:lineRule="auto"/>
    </w:pPr>
  </w:style>
  <w:style w:type="character" w:customStyle="1" w:styleId="En-tteCar">
    <w:name w:val="En-tête Car"/>
    <w:basedOn w:val="Policepardfaut"/>
    <w:link w:val="En-tte"/>
    <w:uiPriority w:val="99"/>
    <w:rsid w:val="00580F46"/>
  </w:style>
  <w:style w:type="paragraph" w:styleId="Pieddepage">
    <w:name w:val="footer"/>
    <w:basedOn w:val="Normal"/>
    <w:link w:val="PieddepageCar"/>
    <w:uiPriority w:val="99"/>
    <w:unhideWhenUsed/>
    <w:rsid w:val="00580F46"/>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580F46"/>
  </w:style>
  <w:style w:type="character" w:styleId="lev">
    <w:name w:val="Strong"/>
    <w:basedOn w:val="Policepardfaut"/>
    <w:uiPriority w:val="22"/>
    <w:qFormat/>
    <w:rsid w:val="00991621"/>
    <w:rPr>
      <w:b/>
      <w:bCs/>
    </w:rPr>
  </w:style>
  <w:style w:type="paragraph" w:styleId="NormalWeb">
    <w:name w:val="Normal (Web)"/>
    <w:basedOn w:val="Normal"/>
    <w:uiPriority w:val="99"/>
    <w:unhideWhenUsed/>
    <w:rsid w:val="00991621"/>
    <w:pPr>
      <w:spacing w:before="100" w:beforeAutospacing="1" w:after="100" w:afterAutospacing="1" w:line="240" w:lineRule="auto"/>
    </w:pPr>
    <w:rPr>
      <w:rFonts w:ascii="Times New Roman" w:eastAsia="Times New Roman" w:hAnsi="Times New Roman" w:cs="Times New Roman"/>
      <w:kern w:val="0"/>
      <w:sz w:val="24"/>
      <w:szCs w:val="24"/>
      <w:lang w:eastAsia="fr-FR"/>
      <w14:ligatures w14:val="none"/>
    </w:rPr>
  </w:style>
  <w:style w:type="paragraph" w:styleId="Notedebasdepage">
    <w:name w:val="footnote text"/>
    <w:basedOn w:val="Normal"/>
    <w:link w:val="NotedebasdepageCar"/>
    <w:uiPriority w:val="99"/>
    <w:unhideWhenUsed/>
    <w:rsid w:val="00B870C7"/>
    <w:pPr>
      <w:spacing w:after="0" w:line="240" w:lineRule="auto"/>
    </w:pPr>
    <w:rPr>
      <w:rFonts w:ascii="Times New Roman" w:eastAsia="Times New Roman" w:hAnsi="Times New Roman" w:cs="Times New Roman"/>
      <w:kern w:val="0"/>
      <w:sz w:val="20"/>
      <w:szCs w:val="20"/>
      <w:lang w:eastAsia="fr-FR"/>
      <w14:ligatures w14:val="none"/>
    </w:rPr>
  </w:style>
  <w:style w:type="character" w:customStyle="1" w:styleId="NotedebasdepageCar">
    <w:name w:val="Note de bas de page Car"/>
    <w:basedOn w:val="Policepardfaut"/>
    <w:link w:val="Notedebasdepage"/>
    <w:uiPriority w:val="99"/>
    <w:rsid w:val="00B870C7"/>
    <w:rPr>
      <w:rFonts w:ascii="Times New Roman" w:eastAsia="Times New Roman" w:hAnsi="Times New Roman" w:cs="Times New Roman"/>
      <w:kern w:val="0"/>
      <w:sz w:val="20"/>
      <w:szCs w:val="20"/>
      <w:lang w:eastAsia="fr-FR"/>
      <w14:ligatures w14:val="none"/>
    </w:rPr>
  </w:style>
  <w:style w:type="character" w:styleId="Appelnotedebasdep">
    <w:name w:val="footnote reference"/>
    <w:basedOn w:val="Policepardfaut"/>
    <w:uiPriority w:val="99"/>
    <w:semiHidden/>
    <w:unhideWhenUsed/>
    <w:rsid w:val="00B870C7"/>
    <w:rPr>
      <w:vertAlign w:val="superscript"/>
    </w:rPr>
  </w:style>
  <w:style w:type="table" w:styleId="Grilledutableau">
    <w:name w:val="Table Grid"/>
    <w:basedOn w:val="TableauNormal"/>
    <w:uiPriority w:val="39"/>
    <w:rsid w:val="00B870C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M1">
    <w:name w:val="toc 1"/>
    <w:basedOn w:val="Normal"/>
    <w:next w:val="Normal"/>
    <w:autoRedefine/>
    <w:uiPriority w:val="39"/>
    <w:unhideWhenUsed/>
    <w:rsid w:val="00B870C7"/>
    <w:pPr>
      <w:spacing w:before="120" w:after="120" w:line="276" w:lineRule="auto"/>
    </w:pPr>
    <w:rPr>
      <w:rFonts w:eastAsia="Times New Roman" w:cs="Times New Roman"/>
      <w:b/>
      <w:bCs/>
      <w:caps/>
      <w:kern w:val="0"/>
      <w:sz w:val="20"/>
      <w:szCs w:val="20"/>
      <w:lang w:eastAsia="fr-FR"/>
      <w14:ligatures w14:val="none"/>
    </w:rPr>
  </w:style>
  <w:style w:type="paragraph" w:styleId="TM2">
    <w:name w:val="toc 2"/>
    <w:basedOn w:val="Normal"/>
    <w:next w:val="Normal"/>
    <w:autoRedefine/>
    <w:uiPriority w:val="39"/>
    <w:unhideWhenUsed/>
    <w:rsid w:val="00B870C7"/>
    <w:pPr>
      <w:spacing w:after="0" w:line="276" w:lineRule="auto"/>
      <w:ind w:left="240"/>
    </w:pPr>
    <w:rPr>
      <w:rFonts w:eastAsia="Times New Roman" w:cs="Times New Roman"/>
      <w:smallCaps/>
      <w:kern w:val="0"/>
      <w:sz w:val="20"/>
      <w:szCs w:val="20"/>
      <w:lang w:eastAsia="fr-FR"/>
      <w14:ligatures w14:val="none"/>
    </w:rPr>
  </w:style>
  <w:style w:type="paragraph" w:styleId="TM3">
    <w:name w:val="toc 3"/>
    <w:basedOn w:val="Normal"/>
    <w:next w:val="Normal"/>
    <w:autoRedefine/>
    <w:uiPriority w:val="39"/>
    <w:unhideWhenUsed/>
    <w:rsid w:val="00B870C7"/>
    <w:pPr>
      <w:spacing w:after="0" w:line="276" w:lineRule="auto"/>
      <w:ind w:left="480"/>
    </w:pPr>
    <w:rPr>
      <w:rFonts w:eastAsia="Times New Roman" w:cs="Times New Roman"/>
      <w:i/>
      <w:iCs/>
      <w:kern w:val="0"/>
      <w:sz w:val="20"/>
      <w:szCs w:val="20"/>
      <w:lang w:eastAsia="fr-FR"/>
      <w14:ligatures w14:val="none"/>
    </w:rPr>
  </w:style>
  <w:style w:type="paragraph" w:styleId="TM4">
    <w:name w:val="toc 4"/>
    <w:basedOn w:val="Normal"/>
    <w:next w:val="Normal"/>
    <w:autoRedefine/>
    <w:uiPriority w:val="39"/>
    <w:unhideWhenUsed/>
    <w:rsid w:val="00B870C7"/>
    <w:pPr>
      <w:spacing w:after="0" w:line="276" w:lineRule="auto"/>
      <w:ind w:left="720"/>
    </w:pPr>
    <w:rPr>
      <w:rFonts w:eastAsia="Times New Roman" w:cs="Times New Roman"/>
      <w:kern w:val="0"/>
      <w:sz w:val="18"/>
      <w:szCs w:val="18"/>
      <w:lang w:eastAsia="fr-FR"/>
      <w14:ligatures w14:val="none"/>
    </w:rPr>
  </w:style>
  <w:style w:type="paragraph" w:styleId="TM5">
    <w:name w:val="toc 5"/>
    <w:basedOn w:val="Normal"/>
    <w:next w:val="Normal"/>
    <w:autoRedefine/>
    <w:uiPriority w:val="39"/>
    <w:unhideWhenUsed/>
    <w:rsid w:val="00B870C7"/>
    <w:pPr>
      <w:spacing w:after="0" w:line="276" w:lineRule="auto"/>
      <w:ind w:left="960"/>
    </w:pPr>
    <w:rPr>
      <w:rFonts w:eastAsia="Times New Roman" w:cs="Times New Roman"/>
      <w:kern w:val="0"/>
      <w:sz w:val="18"/>
      <w:szCs w:val="18"/>
      <w:lang w:eastAsia="fr-FR"/>
      <w14:ligatures w14:val="none"/>
    </w:rPr>
  </w:style>
  <w:style w:type="paragraph" w:styleId="TM6">
    <w:name w:val="toc 6"/>
    <w:basedOn w:val="Normal"/>
    <w:next w:val="Normal"/>
    <w:autoRedefine/>
    <w:uiPriority w:val="39"/>
    <w:unhideWhenUsed/>
    <w:rsid w:val="00B870C7"/>
    <w:pPr>
      <w:spacing w:after="0" w:line="276" w:lineRule="auto"/>
      <w:ind w:left="1200"/>
    </w:pPr>
    <w:rPr>
      <w:rFonts w:eastAsia="Times New Roman" w:cs="Times New Roman"/>
      <w:kern w:val="0"/>
      <w:sz w:val="18"/>
      <w:szCs w:val="18"/>
      <w:lang w:eastAsia="fr-FR"/>
      <w14:ligatures w14:val="none"/>
    </w:rPr>
  </w:style>
  <w:style w:type="paragraph" w:styleId="TM7">
    <w:name w:val="toc 7"/>
    <w:basedOn w:val="Normal"/>
    <w:next w:val="Normal"/>
    <w:autoRedefine/>
    <w:uiPriority w:val="39"/>
    <w:unhideWhenUsed/>
    <w:rsid w:val="00B870C7"/>
    <w:pPr>
      <w:spacing w:after="0" w:line="276" w:lineRule="auto"/>
      <w:ind w:left="1440"/>
    </w:pPr>
    <w:rPr>
      <w:rFonts w:eastAsia="Times New Roman" w:cs="Times New Roman"/>
      <w:kern w:val="0"/>
      <w:sz w:val="18"/>
      <w:szCs w:val="18"/>
      <w:lang w:eastAsia="fr-FR"/>
      <w14:ligatures w14:val="none"/>
    </w:rPr>
  </w:style>
  <w:style w:type="paragraph" w:styleId="TM8">
    <w:name w:val="toc 8"/>
    <w:basedOn w:val="Normal"/>
    <w:next w:val="Normal"/>
    <w:autoRedefine/>
    <w:uiPriority w:val="39"/>
    <w:unhideWhenUsed/>
    <w:rsid w:val="00B870C7"/>
    <w:pPr>
      <w:spacing w:after="0" w:line="276" w:lineRule="auto"/>
      <w:ind w:left="1680"/>
    </w:pPr>
    <w:rPr>
      <w:rFonts w:eastAsia="Times New Roman" w:cs="Times New Roman"/>
      <w:kern w:val="0"/>
      <w:sz w:val="18"/>
      <w:szCs w:val="18"/>
      <w:lang w:eastAsia="fr-FR"/>
      <w14:ligatures w14:val="none"/>
    </w:rPr>
  </w:style>
  <w:style w:type="paragraph" w:styleId="TM9">
    <w:name w:val="toc 9"/>
    <w:basedOn w:val="Normal"/>
    <w:next w:val="Normal"/>
    <w:autoRedefine/>
    <w:uiPriority w:val="39"/>
    <w:unhideWhenUsed/>
    <w:rsid w:val="00B870C7"/>
    <w:pPr>
      <w:spacing w:after="0" w:line="276" w:lineRule="auto"/>
      <w:ind w:left="1920"/>
    </w:pPr>
    <w:rPr>
      <w:rFonts w:eastAsia="Times New Roman" w:cs="Times New Roman"/>
      <w:kern w:val="0"/>
      <w:sz w:val="18"/>
      <w:szCs w:val="18"/>
      <w:lang w:eastAsia="fr-FR"/>
      <w14:ligatures w14:val="none"/>
    </w:rPr>
  </w:style>
  <w:style w:type="character" w:styleId="Lienhypertextesuivivisit">
    <w:name w:val="FollowedHyperlink"/>
    <w:basedOn w:val="Policepardfaut"/>
    <w:uiPriority w:val="99"/>
    <w:semiHidden/>
    <w:unhideWhenUsed/>
    <w:rsid w:val="00B870C7"/>
    <w:rPr>
      <w:color w:val="96607D" w:themeColor="followedHyperlink"/>
      <w:u w:val="single"/>
    </w:rPr>
  </w:style>
  <w:style w:type="paragraph" w:styleId="Sansinterligne">
    <w:name w:val="No Spacing"/>
    <w:uiPriority w:val="1"/>
    <w:qFormat/>
    <w:rsid w:val="00B870C7"/>
    <w:pPr>
      <w:spacing w:after="0" w:line="240" w:lineRule="auto"/>
    </w:pPr>
    <w:rPr>
      <w:rFonts w:ascii="Times New Roman" w:hAnsi="Times New Roman" w:cs="Times New Roman"/>
      <w:sz w:val="20"/>
      <w:szCs w:val="20"/>
      <w:lang w:eastAsia="fr-FR"/>
    </w:rPr>
  </w:style>
  <w:style w:type="character" w:styleId="Accentuation">
    <w:name w:val="Emphasis"/>
    <w:basedOn w:val="Policepardfaut"/>
    <w:uiPriority w:val="20"/>
    <w:qFormat/>
    <w:rsid w:val="00B870C7"/>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586067">
      <w:bodyDiv w:val="1"/>
      <w:marLeft w:val="0"/>
      <w:marRight w:val="0"/>
      <w:marTop w:val="0"/>
      <w:marBottom w:val="0"/>
      <w:divBdr>
        <w:top w:val="none" w:sz="0" w:space="0" w:color="auto"/>
        <w:left w:val="none" w:sz="0" w:space="0" w:color="auto"/>
        <w:bottom w:val="none" w:sz="0" w:space="0" w:color="auto"/>
        <w:right w:val="none" w:sz="0" w:space="0" w:color="auto"/>
      </w:divBdr>
      <w:divsChild>
        <w:div w:id="761993316">
          <w:marLeft w:val="0"/>
          <w:marRight w:val="0"/>
          <w:marTop w:val="0"/>
          <w:marBottom w:val="0"/>
          <w:divBdr>
            <w:top w:val="none" w:sz="0" w:space="0" w:color="auto"/>
            <w:left w:val="none" w:sz="0" w:space="0" w:color="auto"/>
            <w:bottom w:val="none" w:sz="0" w:space="0" w:color="auto"/>
            <w:right w:val="none" w:sz="0" w:space="0" w:color="auto"/>
          </w:divBdr>
          <w:divsChild>
            <w:div w:id="1130319218">
              <w:marLeft w:val="0"/>
              <w:marRight w:val="0"/>
              <w:marTop w:val="0"/>
              <w:marBottom w:val="0"/>
              <w:divBdr>
                <w:top w:val="none" w:sz="0" w:space="0" w:color="auto"/>
                <w:left w:val="none" w:sz="0" w:space="0" w:color="auto"/>
                <w:bottom w:val="none" w:sz="0" w:space="0" w:color="auto"/>
                <w:right w:val="none" w:sz="0" w:space="0" w:color="auto"/>
              </w:divBdr>
              <w:divsChild>
                <w:div w:id="1666863185">
                  <w:marLeft w:val="0"/>
                  <w:marRight w:val="0"/>
                  <w:marTop w:val="0"/>
                  <w:marBottom w:val="0"/>
                  <w:divBdr>
                    <w:top w:val="none" w:sz="0" w:space="0" w:color="auto"/>
                    <w:left w:val="none" w:sz="0" w:space="0" w:color="auto"/>
                    <w:bottom w:val="none" w:sz="0" w:space="0" w:color="auto"/>
                    <w:right w:val="none" w:sz="0" w:space="0" w:color="auto"/>
                  </w:divBdr>
                  <w:divsChild>
                    <w:div w:id="2573008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04219581">
          <w:marLeft w:val="0"/>
          <w:marRight w:val="0"/>
          <w:marTop w:val="0"/>
          <w:marBottom w:val="0"/>
          <w:divBdr>
            <w:top w:val="none" w:sz="0" w:space="0" w:color="auto"/>
            <w:left w:val="none" w:sz="0" w:space="0" w:color="auto"/>
            <w:bottom w:val="none" w:sz="0" w:space="0" w:color="auto"/>
            <w:right w:val="none" w:sz="0" w:space="0" w:color="auto"/>
          </w:divBdr>
          <w:divsChild>
            <w:div w:id="159152977">
              <w:marLeft w:val="0"/>
              <w:marRight w:val="0"/>
              <w:marTop w:val="0"/>
              <w:marBottom w:val="0"/>
              <w:divBdr>
                <w:top w:val="none" w:sz="0" w:space="0" w:color="auto"/>
                <w:left w:val="none" w:sz="0" w:space="0" w:color="auto"/>
                <w:bottom w:val="none" w:sz="0" w:space="0" w:color="auto"/>
                <w:right w:val="none" w:sz="0" w:space="0" w:color="auto"/>
              </w:divBdr>
              <w:divsChild>
                <w:div w:id="1737626445">
                  <w:marLeft w:val="0"/>
                  <w:marRight w:val="0"/>
                  <w:marTop w:val="0"/>
                  <w:marBottom w:val="0"/>
                  <w:divBdr>
                    <w:top w:val="none" w:sz="0" w:space="0" w:color="auto"/>
                    <w:left w:val="none" w:sz="0" w:space="0" w:color="auto"/>
                    <w:bottom w:val="none" w:sz="0" w:space="0" w:color="auto"/>
                    <w:right w:val="none" w:sz="0" w:space="0" w:color="auto"/>
                  </w:divBdr>
                  <w:divsChild>
                    <w:div w:id="8778639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706480">
      <w:bodyDiv w:val="1"/>
      <w:marLeft w:val="0"/>
      <w:marRight w:val="0"/>
      <w:marTop w:val="0"/>
      <w:marBottom w:val="0"/>
      <w:divBdr>
        <w:top w:val="none" w:sz="0" w:space="0" w:color="auto"/>
        <w:left w:val="none" w:sz="0" w:space="0" w:color="auto"/>
        <w:bottom w:val="none" w:sz="0" w:space="0" w:color="auto"/>
        <w:right w:val="none" w:sz="0" w:space="0" w:color="auto"/>
      </w:divBdr>
    </w:div>
    <w:div w:id="71662984">
      <w:bodyDiv w:val="1"/>
      <w:marLeft w:val="0"/>
      <w:marRight w:val="0"/>
      <w:marTop w:val="0"/>
      <w:marBottom w:val="0"/>
      <w:divBdr>
        <w:top w:val="none" w:sz="0" w:space="0" w:color="auto"/>
        <w:left w:val="none" w:sz="0" w:space="0" w:color="auto"/>
        <w:bottom w:val="none" w:sz="0" w:space="0" w:color="auto"/>
        <w:right w:val="none" w:sz="0" w:space="0" w:color="auto"/>
      </w:divBdr>
    </w:div>
    <w:div w:id="88892937">
      <w:bodyDiv w:val="1"/>
      <w:marLeft w:val="0"/>
      <w:marRight w:val="0"/>
      <w:marTop w:val="0"/>
      <w:marBottom w:val="0"/>
      <w:divBdr>
        <w:top w:val="none" w:sz="0" w:space="0" w:color="auto"/>
        <w:left w:val="none" w:sz="0" w:space="0" w:color="auto"/>
        <w:bottom w:val="none" w:sz="0" w:space="0" w:color="auto"/>
        <w:right w:val="none" w:sz="0" w:space="0" w:color="auto"/>
      </w:divBdr>
    </w:div>
    <w:div w:id="136991113">
      <w:bodyDiv w:val="1"/>
      <w:marLeft w:val="0"/>
      <w:marRight w:val="0"/>
      <w:marTop w:val="0"/>
      <w:marBottom w:val="0"/>
      <w:divBdr>
        <w:top w:val="none" w:sz="0" w:space="0" w:color="auto"/>
        <w:left w:val="none" w:sz="0" w:space="0" w:color="auto"/>
        <w:bottom w:val="none" w:sz="0" w:space="0" w:color="auto"/>
        <w:right w:val="none" w:sz="0" w:space="0" w:color="auto"/>
      </w:divBdr>
    </w:div>
    <w:div w:id="240071149">
      <w:bodyDiv w:val="1"/>
      <w:marLeft w:val="0"/>
      <w:marRight w:val="0"/>
      <w:marTop w:val="0"/>
      <w:marBottom w:val="0"/>
      <w:divBdr>
        <w:top w:val="none" w:sz="0" w:space="0" w:color="auto"/>
        <w:left w:val="none" w:sz="0" w:space="0" w:color="auto"/>
        <w:bottom w:val="none" w:sz="0" w:space="0" w:color="auto"/>
        <w:right w:val="none" w:sz="0" w:space="0" w:color="auto"/>
      </w:divBdr>
    </w:div>
    <w:div w:id="252054650">
      <w:bodyDiv w:val="1"/>
      <w:marLeft w:val="0"/>
      <w:marRight w:val="0"/>
      <w:marTop w:val="0"/>
      <w:marBottom w:val="0"/>
      <w:divBdr>
        <w:top w:val="none" w:sz="0" w:space="0" w:color="auto"/>
        <w:left w:val="none" w:sz="0" w:space="0" w:color="auto"/>
        <w:bottom w:val="none" w:sz="0" w:space="0" w:color="auto"/>
        <w:right w:val="none" w:sz="0" w:space="0" w:color="auto"/>
      </w:divBdr>
    </w:div>
    <w:div w:id="279385107">
      <w:bodyDiv w:val="1"/>
      <w:marLeft w:val="0"/>
      <w:marRight w:val="0"/>
      <w:marTop w:val="0"/>
      <w:marBottom w:val="0"/>
      <w:divBdr>
        <w:top w:val="none" w:sz="0" w:space="0" w:color="auto"/>
        <w:left w:val="none" w:sz="0" w:space="0" w:color="auto"/>
        <w:bottom w:val="none" w:sz="0" w:space="0" w:color="auto"/>
        <w:right w:val="none" w:sz="0" w:space="0" w:color="auto"/>
      </w:divBdr>
    </w:div>
    <w:div w:id="283080568">
      <w:bodyDiv w:val="1"/>
      <w:marLeft w:val="0"/>
      <w:marRight w:val="0"/>
      <w:marTop w:val="0"/>
      <w:marBottom w:val="0"/>
      <w:divBdr>
        <w:top w:val="none" w:sz="0" w:space="0" w:color="auto"/>
        <w:left w:val="none" w:sz="0" w:space="0" w:color="auto"/>
        <w:bottom w:val="none" w:sz="0" w:space="0" w:color="auto"/>
        <w:right w:val="none" w:sz="0" w:space="0" w:color="auto"/>
      </w:divBdr>
    </w:div>
    <w:div w:id="317619047">
      <w:bodyDiv w:val="1"/>
      <w:marLeft w:val="0"/>
      <w:marRight w:val="0"/>
      <w:marTop w:val="0"/>
      <w:marBottom w:val="0"/>
      <w:divBdr>
        <w:top w:val="none" w:sz="0" w:space="0" w:color="auto"/>
        <w:left w:val="none" w:sz="0" w:space="0" w:color="auto"/>
        <w:bottom w:val="none" w:sz="0" w:space="0" w:color="auto"/>
        <w:right w:val="none" w:sz="0" w:space="0" w:color="auto"/>
      </w:divBdr>
    </w:div>
    <w:div w:id="336887575">
      <w:bodyDiv w:val="1"/>
      <w:marLeft w:val="0"/>
      <w:marRight w:val="0"/>
      <w:marTop w:val="0"/>
      <w:marBottom w:val="0"/>
      <w:divBdr>
        <w:top w:val="none" w:sz="0" w:space="0" w:color="auto"/>
        <w:left w:val="none" w:sz="0" w:space="0" w:color="auto"/>
        <w:bottom w:val="none" w:sz="0" w:space="0" w:color="auto"/>
        <w:right w:val="none" w:sz="0" w:space="0" w:color="auto"/>
      </w:divBdr>
    </w:div>
    <w:div w:id="386532742">
      <w:bodyDiv w:val="1"/>
      <w:marLeft w:val="0"/>
      <w:marRight w:val="0"/>
      <w:marTop w:val="0"/>
      <w:marBottom w:val="0"/>
      <w:divBdr>
        <w:top w:val="none" w:sz="0" w:space="0" w:color="auto"/>
        <w:left w:val="none" w:sz="0" w:space="0" w:color="auto"/>
        <w:bottom w:val="none" w:sz="0" w:space="0" w:color="auto"/>
        <w:right w:val="none" w:sz="0" w:space="0" w:color="auto"/>
      </w:divBdr>
    </w:div>
    <w:div w:id="395402620">
      <w:bodyDiv w:val="1"/>
      <w:marLeft w:val="0"/>
      <w:marRight w:val="0"/>
      <w:marTop w:val="0"/>
      <w:marBottom w:val="0"/>
      <w:divBdr>
        <w:top w:val="none" w:sz="0" w:space="0" w:color="auto"/>
        <w:left w:val="none" w:sz="0" w:space="0" w:color="auto"/>
        <w:bottom w:val="none" w:sz="0" w:space="0" w:color="auto"/>
        <w:right w:val="none" w:sz="0" w:space="0" w:color="auto"/>
      </w:divBdr>
    </w:div>
    <w:div w:id="425348531">
      <w:bodyDiv w:val="1"/>
      <w:marLeft w:val="0"/>
      <w:marRight w:val="0"/>
      <w:marTop w:val="0"/>
      <w:marBottom w:val="0"/>
      <w:divBdr>
        <w:top w:val="none" w:sz="0" w:space="0" w:color="auto"/>
        <w:left w:val="none" w:sz="0" w:space="0" w:color="auto"/>
        <w:bottom w:val="none" w:sz="0" w:space="0" w:color="auto"/>
        <w:right w:val="none" w:sz="0" w:space="0" w:color="auto"/>
      </w:divBdr>
    </w:div>
    <w:div w:id="564141570">
      <w:bodyDiv w:val="1"/>
      <w:marLeft w:val="0"/>
      <w:marRight w:val="0"/>
      <w:marTop w:val="0"/>
      <w:marBottom w:val="0"/>
      <w:divBdr>
        <w:top w:val="none" w:sz="0" w:space="0" w:color="auto"/>
        <w:left w:val="none" w:sz="0" w:space="0" w:color="auto"/>
        <w:bottom w:val="none" w:sz="0" w:space="0" w:color="auto"/>
        <w:right w:val="none" w:sz="0" w:space="0" w:color="auto"/>
      </w:divBdr>
    </w:div>
    <w:div w:id="565383614">
      <w:bodyDiv w:val="1"/>
      <w:marLeft w:val="0"/>
      <w:marRight w:val="0"/>
      <w:marTop w:val="0"/>
      <w:marBottom w:val="0"/>
      <w:divBdr>
        <w:top w:val="none" w:sz="0" w:space="0" w:color="auto"/>
        <w:left w:val="none" w:sz="0" w:space="0" w:color="auto"/>
        <w:bottom w:val="none" w:sz="0" w:space="0" w:color="auto"/>
        <w:right w:val="none" w:sz="0" w:space="0" w:color="auto"/>
      </w:divBdr>
    </w:div>
    <w:div w:id="603726370">
      <w:bodyDiv w:val="1"/>
      <w:marLeft w:val="0"/>
      <w:marRight w:val="0"/>
      <w:marTop w:val="0"/>
      <w:marBottom w:val="0"/>
      <w:divBdr>
        <w:top w:val="none" w:sz="0" w:space="0" w:color="auto"/>
        <w:left w:val="none" w:sz="0" w:space="0" w:color="auto"/>
        <w:bottom w:val="none" w:sz="0" w:space="0" w:color="auto"/>
        <w:right w:val="none" w:sz="0" w:space="0" w:color="auto"/>
      </w:divBdr>
    </w:div>
    <w:div w:id="630134162">
      <w:bodyDiv w:val="1"/>
      <w:marLeft w:val="0"/>
      <w:marRight w:val="0"/>
      <w:marTop w:val="0"/>
      <w:marBottom w:val="0"/>
      <w:divBdr>
        <w:top w:val="none" w:sz="0" w:space="0" w:color="auto"/>
        <w:left w:val="none" w:sz="0" w:space="0" w:color="auto"/>
        <w:bottom w:val="none" w:sz="0" w:space="0" w:color="auto"/>
        <w:right w:val="none" w:sz="0" w:space="0" w:color="auto"/>
      </w:divBdr>
    </w:div>
    <w:div w:id="632751664">
      <w:bodyDiv w:val="1"/>
      <w:marLeft w:val="0"/>
      <w:marRight w:val="0"/>
      <w:marTop w:val="0"/>
      <w:marBottom w:val="0"/>
      <w:divBdr>
        <w:top w:val="none" w:sz="0" w:space="0" w:color="auto"/>
        <w:left w:val="none" w:sz="0" w:space="0" w:color="auto"/>
        <w:bottom w:val="none" w:sz="0" w:space="0" w:color="auto"/>
        <w:right w:val="none" w:sz="0" w:space="0" w:color="auto"/>
      </w:divBdr>
    </w:div>
    <w:div w:id="640384897">
      <w:bodyDiv w:val="1"/>
      <w:marLeft w:val="0"/>
      <w:marRight w:val="0"/>
      <w:marTop w:val="0"/>
      <w:marBottom w:val="0"/>
      <w:divBdr>
        <w:top w:val="none" w:sz="0" w:space="0" w:color="auto"/>
        <w:left w:val="none" w:sz="0" w:space="0" w:color="auto"/>
        <w:bottom w:val="none" w:sz="0" w:space="0" w:color="auto"/>
        <w:right w:val="none" w:sz="0" w:space="0" w:color="auto"/>
      </w:divBdr>
    </w:div>
    <w:div w:id="775103974">
      <w:bodyDiv w:val="1"/>
      <w:marLeft w:val="0"/>
      <w:marRight w:val="0"/>
      <w:marTop w:val="0"/>
      <w:marBottom w:val="0"/>
      <w:divBdr>
        <w:top w:val="none" w:sz="0" w:space="0" w:color="auto"/>
        <w:left w:val="none" w:sz="0" w:space="0" w:color="auto"/>
        <w:bottom w:val="none" w:sz="0" w:space="0" w:color="auto"/>
        <w:right w:val="none" w:sz="0" w:space="0" w:color="auto"/>
      </w:divBdr>
    </w:div>
    <w:div w:id="796489332">
      <w:bodyDiv w:val="1"/>
      <w:marLeft w:val="0"/>
      <w:marRight w:val="0"/>
      <w:marTop w:val="0"/>
      <w:marBottom w:val="0"/>
      <w:divBdr>
        <w:top w:val="none" w:sz="0" w:space="0" w:color="auto"/>
        <w:left w:val="none" w:sz="0" w:space="0" w:color="auto"/>
        <w:bottom w:val="none" w:sz="0" w:space="0" w:color="auto"/>
        <w:right w:val="none" w:sz="0" w:space="0" w:color="auto"/>
      </w:divBdr>
    </w:div>
    <w:div w:id="810944066">
      <w:bodyDiv w:val="1"/>
      <w:marLeft w:val="0"/>
      <w:marRight w:val="0"/>
      <w:marTop w:val="0"/>
      <w:marBottom w:val="0"/>
      <w:divBdr>
        <w:top w:val="none" w:sz="0" w:space="0" w:color="auto"/>
        <w:left w:val="none" w:sz="0" w:space="0" w:color="auto"/>
        <w:bottom w:val="none" w:sz="0" w:space="0" w:color="auto"/>
        <w:right w:val="none" w:sz="0" w:space="0" w:color="auto"/>
      </w:divBdr>
    </w:div>
    <w:div w:id="815953279">
      <w:bodyDiv w:val="1"/>
      <w:marLeft w:val="0"/>
      <w:marRight w:val="0"/>
      <w:marTop w:val="0"/>
      <w:marBottom w:val="0"/>
      <w:divBdr>
        <w:top w:val="none" w:sz="0" w:space="0" w:color="auto"/>
        <w:left w:val="none" w:sz="0" w:space="0" w:color="auto"/>
        <w:bottom w:val="none" w:sz="0" w:space="0" w:color="auto"/>
        <w:right w:val="none" w:sz="0" w:space="0" w:color="auto"/>
      </w:divBdr>
      <w:divsChild>
        <w:div w:id="816412608">
          <w:marLeft w:val="0"/>
          <w:marRight w:val="0"/>
          <w:marTop w:val="0"/>
          <w:marBottom w:val="0"/>
          <w:divBdr>
            <w:top w:val="none" w:sz="0" w:space="0" w:color="auto"/>
            <w:left w:val="none" w:sz="0" w:space="0" w:color="auto"/>
            <w:bottom w:val="none" w:sz="0" w:space="0" w:color="auto"/>
            <w:right w:val="none" w:sz="0" w:space="0" w:color="auto"/>
          </w:divBdr>
          <w:divsChild>
            <w:div w:id="1283069611">
              <w:marLeft w:val="0"/>
              <w:marRight w:val="0"/>
              <w:marTop w:val="0"/>
              <w:marBottom w:val="0"/>
              <w:divBdr>
                <w:top w:val="none" w:sz="0" w:space="0" w:color="auto"/>
                <w:left w:val="none" w:sz="0" w:space="0" w:color="auto"/>
                <w:bottom w:val="none" w:sz="0" w:space="0" w:color="auto"/>
                <w:right w:val="none" w:sz="0" w:space="0" w:color="auto"/>
              </w:divBdr>
              <w:divsChild>
                <w:div w:id="233048257">
                  <w:marLeft w:val="0"/>
                  <w:marRight w:val="0"/>
                  <w:marTop w:val="0"/>
                  <w:marBottom w:val="0"/>
                  <w:divBdr>
                    <w:top w:val="none" w:sz="0" w:space="0" w:color="auto"/>
                    <w:left w:val="none" w:sz="0" w:space="0" w:color="auto"/>
                    <w:bottom w:val="none" w:sz="0" w:space="0" w:color="auto"/>
                    <w:right w:val="none" w:sz="0" w:space="0" w:color="auto"/>
                  </w:divBdr>
                  <w:divsChild>
                    <w:div w:id="1700012658">
                      <w:marLeft w:val="0"/>
                      <w:marRight w:val="0"/>
                      <w:marTop w:val="0"/>
                      <w:marBottom w:val="0"/>
                      <w:divBdr>
                        <w:top w:val="none" w:sz="0" w:space="0" w:color="auto"/>
                        <w:left w:val="none" w:sz="0" w:space="0" w:color="auto"/>
                        <w:bottom w:val="none" w:sz="0" w:space="0" w:color="auto"/>
                        <w:right w:val="none" w:sz="0" w:space="0" w:color="auto"/>
                      </w:divBdr>
                      <w:divsChild>
                        <w:div w:id="660694560">
                          <w:marLeft w:val="0"/>
                          <w:marRight w:val="0"/>
                          <w:marTop w:val="0"/>
                          <w:marBottom w:val="0"/>
                          <w:divBdr>
                            <w:top w:val="none" w:sz="0" w:space="0" w:color="auto"/>
                            <w:left w:val="none" w:sz="0" w:space="0" w:color="auto"/>
                            <w:bottom w:val="none" w:sz="0" w:space="0" w:color="auto"/>
                            <w:right w:val="none" w:sz="0" w:space="0" w:color="auto"/>
                          </w:divBdr>
                        </w:div>
                        <w:div w:id="356544170">
                          <w:marLeft w:val="0"/>
                          <w:marRight w:val="0"/>
                          <w:marTop w:val="0"/>
                          <w:marBottom w:val="0"/>
                          <w:divBdr>
                            <w:top w:val="none" w:sz="0" w:space="0" w:color="auto"/>
                            <w:left w:val="none" w:sz="0" w:space="0" w:color="auto"/>
                            <w:bottom w:val="none" w:sz="0" w:space="0" w:color="auto"/>
                            <w:right w:val="none" w:sz="0" w:space="0" w:color="auto"/>
                          </w:divBdr>
                        </w:div>
                        <w:div w:id="735712847">
                          <w:marLeft w:val="0"/>
                          <w:marRight w:val="0"/>
                          <w:marTop w:val="0"/>
                          <w:marBottom w:val="0"/>
                          <w:divBdr>
                            <w:top w:val="none" w:sz="0" w:space="0" w:color="auto"/>
                            <w:left w:val="none" w:sz="0" w:space="0" w:color="auto"/>
                            <w:bottom w:val="none" w:sz="0" w:space="0" w:color="auto"/>
                            <w:right w:val="none" w:sz="0" w:space="0" w:color="auto"/>
                          </w:divBdr>
                        </w:div>
                        <w:div w:id="1498494412">
                          <w:marLeft w:val="0"/>
                          <w:marRight w:val="0"/>
                          <w:marTop w:val="0"/>
                          <w:marBottom w:val="0"/>
                          <w:divBdr>
                            <w:top w:val="none" w:sz="0" w:space="0" w:color="auto"/>
                            <w:left w:val="none" w:sz="0" w:space="0" w:color="auto"/>
                            <w:bottom w:val="none" w:sz="0" w:space="0" w:color="auto"/>
                            <w:right w:val="none" w:sz="0" w:space="0" w:color="auto"/>
                          </w:divBdr>
                          <w:divsChild>
                            <w:div w:id="492183151">
                              <w:marLeft w:val="0"/>
                              <w:marRight w:val="0"/>
                              <w:marTop w:val="0"/>
                              <w:marBottom w:val="0"/>
                              <w:divBdr>
                                <w:top w:val="none" w:sz="0" w:space="0" w:color="auto"/>
                                <w:left w:val="none" w:sz="0" w:space="0" w:color="auto"/>
                                <w:bottom w:val="none" w:sz="0" w:space="0" w:color="auto"/>
                                <w:right w:val="none" w:sz="0" w:space="0" w:color="auto"/>
                              </w:divBdr>
                            </w:div>
                            <w:div w:id="566378212">
                              <w:marLeft w:val="0"/>
                              <w:marRight w:val="0"/>
                              <w:marTop w:val="0"/>
                              <w:marBottom w:val="0"/>
                              <w:divBdr>
                                <w:top w:val="none" w:sz="0" w:space="0" w:color="auto"/>
                                <w:left w:val="none" w:sz="0" w:space="0" w:color="auto"/>
                                <w:bottom w:val="none" w:sz="0" w:space="0" w:color="auto"/>
                                <w:right w:val="none" w:sz="0" w:space="0" w:color="auto"/>
                              </w:divBdr>
                              <w:divsChild>
                                <w:div w:id="657154977">
                                  <w:marLeft w:val="0"/>
                                  <w:marRight w:val="0"/>
                                  <w:marTop w:val="0"/>
                                  <w:marBottom w:val="0"/>
                                  <w:divBdr>
                                    <w:top w:val="none" w:sz="0" w:space="0" w:color="auto"/>
                                    <w:left w:val="none" w:sz="0" w:space="0" w:color="auto"/>
                                    <w:bottom w:val="none" w:sz="0" w:space="0" w:color="auto"/>
                                    <w:right w:val="none" w:sz="0" w:space="0" w:color="auto"/>
                                  </w:divBdr>
                                </w:div>
                                <w:div w:id="731269544">
                                  <w:marLeft w:val="0"/>
                                  <w:marRight w:val="0"/>
                                  <w:marTop w:val="0"/>
                                  <w:marBottom w:val="0"/>
                                  <w:divBdr>
                                    <w:top w:val="none" w:sz="0" w:space="0" w:color="auto"/>
                                    <w:left w:val="none" w:sz="0" w:space="0" w:color="auto"/>
                                    <w:bottom w:val="none" w:sz="0" w:space="0" w:color="auto"/>
                                    <w:right w:val="none" w:sz="0" w:space="0" w:color="auto"/>
                                  </w:divBdr>
                                </w:div>
                                <w:div w:id="11706783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18615771">
      <w:bodyDiv w:val="1"/>
      <w:marLeft w:val="0"/>
      <w:marRight w:val="0"/>
      <w:marTop w:val="0"/>
      <w:marBottom w:val="0"/>
      <w:divBdr>
        <w:top w:val="none" w:sz="0" w:space="0" w:color="auto"/>
        <w:left w:val="none" w:sz="0" w:space="0" w:color="auto"/>
        <w:bottom w:val="none" w:sz="0" w:space="0" w:color="auto"/>
        <w:right w:val="none" w:sz="0" w:space="0" w:color="auto"/>
      </w:divBdr>
    </w:div>
    <w:div w:id="857893772">
      <w:bodyDiv w:val="1"/>
      <w:marLeft w:val="0"/>
      <w:marRight w:val="0"/>
      <w:marTop w:val="0"/>
      <w:marBottom w:val="0"/>
      <w:divBdr>
        <w:top w:val="none" w:sz="0" w:space="0" w:color="auto"/>
        <w:left w:val="none" w:sz="0" w:space="0" w:color="auto"/>
        <w:bottom w:val="none" w:sz="0" w:space="0" w:color="auto"/>
        <w:right w:val="none" w:sz="0" w:space="0" w:color="auto"/>
      </w:divBdr>
    </w:div>
    <w:div w:id="859897924">
      <w:bodyDiv w:val="1"/>
      <w:marLeft w:val="0"/>
      <w:marRight w:val="0"/>
      <w:marTop w:val="0"/>
      <w:marBottom w:val="0"/>
      <w:divBdr>
        <w:top w:val="none" w:sz="0" w:space="0" w:color="auto"/>
        <w:left w:val="none" w:sz="0" w:space="0" w:color="auto"/>
        <w:bottom w:val="none" w:sz="0" w:space="0" w:color="auto"/>
        <w:right w:val="none" w:sz="0" w:space="0" w:color="auto"/>
      </w:divBdr>
    </w:div>
    <w:div w:id="872156532">
      <w:bodyDiv w:val="1"/>
      <w:marLeft w:val="0"/>
      <w:marRight w:val="0"/>
      <w:marTop w:val="0"/>
      <w:marBottom w:val="0"/>
      <w:divBdr>
        <w:top w:val="none" w:sz="0" w:space="0" w:color="auto"/>
        <w:left w:val="none" w:sz="0" w:space="0" w:color="auto"/>
        <w:bottom w:val="none" w:sz="0" w:space="0" w:color="auto"/>
        <w:right w:val="none" w:sz="0" w:space="0" w:color="auto"/>
      </w:divBdr>
      <w:divsChild>
        <w:div w:id="111822175">
          <w:marLeft w:val="0"/>
          <w:marRight w:val="0"/>
          <w:marTop w:val="0"/>
          <w:marBottom w:val="0"/>
          <w:divBdr>
            <w:top w:val="none" w:sz="0" w:space="0" w:color="auto"/>
            <w:left w:val="none" w:sz="0" w:space="0" w:color="auto"/>
            <w:bottom w:val="none" w:sz="0" w:space="0" w:color="auto"/>
            <w:right w:val="none" w:sz="0" w:space="0" w:color="auto"/>
          </w:divBdr>
        </w:div>
        <w:div w:id="1518226225">
          <w:marLeft w:val="0"/>
          <w:marRight w:val="0"/>
          <w:marTop w:val="0"/>
          <w:marBottom w:val="0"/>
          <w:divBdr>
            <w:top w:val="none" w:sz="0" w:space="0" w:color="auto"/>
            <w:left w:val="none" w:sz="0" w:space="0" w:color="auto"/>
            <w:bottom w:val="none" w:sz="0" w:space="0" w:color="auto"/>
            <w:right w:val="none" w:sz="0" w:space="0" w:color="auto"/>
          </w:divBdr>
        </w:div>
        <w:div w:id="1204053212">
          <w:marLeft w:val="0"/>
          <w:marRight w:val="0"/>
          <w:marTop w:val="0"/>
          <w:marBottom w:val="0"/>
          <w:divBdr>
            <w:top w:val="none" w:sz="0" w:space="0" w:color="auto"/>
            <w:left w:val="none" w:sz="0" w:space="0" w:color="auto"/>
            <w:bottom w:val="none" w:sz="0" w:space="0" w:color="auto"/>
            <w:right w:val="none" w:sz="0" w:space="0" w:color="auto"/>
          </w:divBdr>
        </w:div>
        <w:div w:id="1635671682">
          <w:marLeft w:val="0"/>
          <w:marRight w:val="0"/>
          <w:marTop w:val="0"/>
          <w:marBottom w:val="0"/>
          <w:divBdr>
            <w:top w:val="none" w:sz="0" w:space="0" w:color="auto"/>
            <w:left w:val="none" w:sz="0" w:space="0" w:color="auto"/>
            <w:bottom w:val="none" w:sz="0" w:space="0" w:color="auto"/>
            <w:right w:val="none" w:sz="0" w:space="0" w:color="auto"/>
          </w:divBdr>
        </w:div>
      </w:divsChild>
    </w:div>
    <w:div w:id="1004625974">
      <w:bodyDiv w:val="1"/>
      <w:marLeft w:val="0"/>
      <w:marRight w:val="0"/>
      <w:marTop w:val="0"/>
      <w:marBottom w:val="0"/>
      <w:divBdr>
        <w:top w:val="none" w:sz="0" w:space="0" w:color="auto"/>
        <w:left w:val="none" w:sz="0" w:space="0" w:color="auto"/>
        <w:bottom w:val="none" w:sz="0" w:space="0" w:color="auto"/>
        <w:right w:val="none" w:sz="0" w:space="0" w:color="auto"/>
      </w:divBdr>
    </w:div>
    <w:div w:id="1008364359">
      <w:bodyDiv w:val="1"/>
      <w:marLeft w:val="0"/>
      <w:marRight w:val="0"/>
      <w:marTop w:val="0"/>
      <w:marBottom w:val="0"/>
      <w:divBdr>
        <w:top w:val="none" w:sz="0" w:space="0" w:color="auto"/>
        <w:left w:val="none" w:sz="0" w:space="0" w:color="auto"/>
        <w:bottom w:val="none" w:sz="0" w:space="0" w:color="auto"/>
        <w:right w:val="none" w:sz="0" w:space="0" w:color="auto"/>
      </w:divBdr>
    </w:div>
    <w:div w:id="1157497929">
      <w:bodyDiv w:val="1"/>
      <w:marLeft w:val="0"/>
      <w:marRight w:val="0"/>
      <w:marTop w:val="0"/>
      <w:marBottom w:val="0"/>
      <w:divBdr>
        <w:top w:val="none" w:sz="0" w:space="0" w:color="auto"/>
        <w:left w:val="none" w:sz="0" w:space="0" w:color="auto"/>
        <w:bottom w:val="none" w:sz="0" w:space="0" w:color="auto"/>
        <w:right w:val="none" w:sz="0" w:space="0" w:color="auto"/>
      </w:divBdr>
    </w:div>
    <w:div w:id="1158034334">
      <w:bodyDiv w:val="1"/>
      <w:marLeft w:val="0"/>
      <w:marRight w:val="0"/>
      <w:marTop w:val="0"/>
      <w:marBottom w:val="0"/>
      <w:divBdr>
        <w:top w:val="none" w:sz="0" w:space="0" w:color="auto"/>
        <w:left w:val="none" w:sz="0" w:space="0" w:color="auto"/>
        <w:bottom w:val="none" w:sz="0" w:space="0" w:color="auto"/>
        <w:right w:val="none" w:sz="0" w:space="0" w:color="auto"/>
      </w:divBdr>
      <w:divsChild>
        <w:div w:id="1818260093">
          <w:marLeft w:val="0"/>
          <w:marRight w:val="0"/>
          <w:marTop w:val="0"/>
          <w:marBottom w:val="0"/>
          <w:divBdr>
            <w:top w:val="none" w:sz="0" w:space="0" w:color="auto"/>
            <w:left w:val="none" w:sz="0" w:space="0" w:color="auto"/>
            <w:bottom w:val="none" w:sz="0" w:space="0" w:color="auto"/>
            <w:right w:val="none" w:sz="0" w:space="0" w:color="auto"/>
          </w:divBdr>
          <w:divsChild>
            <w:div w:id="1643388713">
              <w:marLeft w:val="0"/>
              <w:marRight w:val="0"/>
              <w:marTop w:val="0"/>
              <w:marBottom w:val="0"/>
              <w:divBdr>
                <w:top w:val="none" w:sz="0" w:space="0" w:color="auto"/>
                <w:left w:val="none" w:sz="0" w:space="0" w:color="auto"/>
                <w:bottom w:val="none" w:sz="0" w:space="0" w:color="auto"/>
                <w:right w:val="none" w:sz="0" w:space="0" w:color="auto"/>
              </w:divBdr>
              <w:divsChild>
                <w:div w:id="858738089">
                  <w:marLeft w:val="0"/>
                  <w:marRight w:val="0"/>
                  <w:marTop w:val="0"/>
                  <w:marBottom w:val="0"/>
                  <w:divBdr>
                    <w:top w:val="none" w:sz="0" w:space="0" w:color="auto"/>
                    <w:left w:val="none" w:sz="0" w:space="0" w:color="auto"/>
                    <w:bottom w:val="none" w:sz="0" w:space="0" w:color="auto"/>
                    <w:right w:val="none" w:sz="0" w:space="0" w:color="auto"/>
                  </w:divBdr>
                  <w:divsChild>
                    <w:div w:id="1268856340">
                      <w:marLeft w:val="0"/>
                      <w:marRight w:val="0"/>
                      <w:marTop w:val="0"/>
                      <w:marBottom w:val="0"/>
                      <w:divBdr>
                        <w:top w:val="none" w:sz="0" w:space="0" w:color="auto"/>
                        <w:left w:val="none" w:sz="0" w:space="0" w:color="auto"/>
                        <w:bottom w:val="none" w:sz="0" w:space="0" w:color="auto"/>
                        <w:right w:val="none" w:sz="0" w:space="0" w:color="auto"/>
                      </w:divBdr>
                      <w:divsChild>
                        <w:div w:id="1944995790">
                          <w:marLeft w:val="0"/>
                          <w:marRight w:val="0"/>
                          <w:marTop w:val="0"/>
                          <w:marBottom w:val="0"/>
                          <w:divBdr>
                            <w:top w:val="none" w:sz="0" w:space="0" w:color="auto"/>
                            <w:left w:val="none" w:sz="0" w:space="0" w:color="auto"/>
                            <w:bottom w:val="none" w:sz="0" w:space="0" w:color="auto"/>
                            <w:right w:val="none" w:sz="0" w:space="0" w:color="auto"/>
                          </w:divBdr>
                          <w:divsChild>
                            <w:div w:id="11711435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79661965">
      <w:bodyDiv w:val="1"/>
      <w:marLeft w:val="0"/>
      <w:marRight w:val="0"/>
      <w:marTop w:val="0"/>
      <w:marBottom w:val="0"/>
      <w:divBdr>
        <w:top w:val="none" w:sz="0" w:space="0" w:color="auto"/>
        <w:left w:val="none" w:sz="0" w:space="0" w:color="auto"/>
        <w:bottom w:val="none" w:sz="0" w:space="0" w:color="auto"/>
        <w:right w:val="none" w:sz="0" w:space="0" w:color="auto"/>
      </w:divBdr>
    </w:div>
    <w:div w:id="1188327363">
      <w:bodyDiv w:val="1"/>
      <w:marLeft w:val="0"/>
      <w:marRight w:val="0"/>
      <w:marTop w:val="0"/>
      <w:marBottom w:val="0"/>
      <w:divBdr>
        <w:top w:val="none" w:sz="0" w:space="0" w:color="auto"/>
        <w:left w:val="none" w:sz="0" w:space="0" w:color="auto"/>
        <w:bottom w:val="none" w:sz="0" w:space="0" w:color="auto"/>
        <w:right w:val="none" w:sz="0" w:space="0" w:color="auto"/>
      </w:divBdr>
    </w:div>
    <w:div w:id="1188713406">
      <w:bodyDiv w:val="1"/>
      <w:marLeft w:val="0"/>
      <w:marRight w:val="0"/>
      <w:marTop w:val="0"/>
      <w:marBottom w:val="0"/>
      <w:divBdr>
        <w:top w:val="none" w:sz="0" w:space="0" w:color="auto"/>
        <w:left w:val="none" w:sz="0" w:space="0" w:color="auto"/>
        <w:bottom w:val="none" w:sz="0" w:space="0" w:color="auto"/>
        <w:right w:val="none" w:sz="0" w:space="0" w:color="auto"/>
      </w:divBdr>
    </w:div>
    <w:div w:id="1201480559">
      <w:bodyDiv w:val="1"/>
      <w:marLeft w:val="0"/>
      <w:marRight w:val="0"/>
      <w:marTop w:val="0"/>
      <w:marBottom w:val="0"/>
      <w:divBdr>
        <w:top w:val="none" w:sz="0" w:space="0" w:color="auto"/>
        <w:left w:val="none" w:sz="0" w:space="0" w:color="auto"/>
        <w:bottom w:val="none" w:sz="0" w:space="0" w:color="auto"/>
        <w:right w:val="none" w:sz="0" w:space="0" w:color="auto"/>
      </w:divBdr>
    </w:div>
    <w:div w:id="1236234490">
      <w:bodyDiv w:val="1"/>
      <w:marLeft w:val="0"/>
      <w:marRight w:val="0"/>
      <w:marTop w:val="0"/>
      <w:marBottom w:val="0"/>
      <w:divBdr>
        <w:top w:val="none" w:sz="0" w:space="0" w:color="auto"/>
        <w:left w:val="none" w:sz="0" w:space="0" w:color="auto"/>
        <w:bottom w:val="none" w:sz="0" w:space="0" w:color="auto"/>
        <w:right w:val="none" w:sz="0" w:space="0" w:color="auto"/>
      </w:divBdr>
    </w:div>
    <w:div w:id="1287353703">
      <w:bodyDiv w:val="1"/>
      <w:marLeft w:val="0"/>
      <w:marRight w:val="0"/>
      <w:marTop w:val="0"/>
      <w:marBottom w:val="0"/>
      <w:divBdr>
        <w:top w:val="none" w:sz="0" w:space="0" w:color="auto"/>
        <w:left w:val="none" w:sz="0" w:space="0" w:color="auto"/>
        <w:bottom w:val="none" w:sz="0" w:space="0" w:color="auto"/>
        <w:right w:val="none" w:sz="0" w:space="0" w:color="auto"/>
      </w:divBdr>
    </w:div>
    <w:div w:id="1287734118">
      <w:bodyDiv w:val="1"/>
      <w:marLeft w:val="0"/>
      <w:marRight w:val="0"/>
      <w:marTop w:val="0"/>
      <w:marBottom w:val="0"/>
      <w:divBdr>
        <w:top w:val="none" w:sz="0" w:space="0" w:color="auto"/>
        <w:left w:val="none" w:sz="0" w:space="0" w:color="auto"/>
        <w:bottom w:val="none" w:sz="0" w:space="0" w:color="auto"/>
        <w:right w:val="none" w:sz="0" w:space="0" w:color="auto"/>
      </w:divBdr>
    </w:div>
    <w:div w:id="1304700581">
      <w:bodyDiv w:val="1"/>
      <w:marLeft w:val="0"/>
      <w:marRight w:val="0"/>
      <w:marTop w:val="0"/>
      <w:marBottom w:val="0"/>
      <w:divBdr>
        <w:top w:val="none" w:sz="0" w:space="0" w:color="auto"/>
        <w:left w:val="none" w:sz="0" w:space="0" w:color="auto"/>
        <w:bottom w:val="none" w:sz="0" w:space="0" w:color="auto"/>
        <w:right w:val="none" w:sz="0" w:space="0" w:color="auto"/>
      </w:divBdr>
      <w:divsChild>
        <w:div w:id="310401317">
          <w:marLeft w:val="0"/>
          <w:marRight w:val="0"/>
          <w:marTop w:val="0"/>
          <w:marBottom w:val="0"/>
          <w:divBdr>
            <w:top w:val="none" w:sz="0" w:space="0" w:color="auto"/>
            <w:left w:val="none" w:sz="0" w:space="0" w:color="auto"/>
            <w:bottom w:val="none" w:sz="0" w:space="0" w:color="auto"/>
            <w:right w:val="none" w:sz="0" w:space="0" w:color="auto"/>
          </w:divBdr>
          <w:divsChild>
            <w:div w:id="773863979">
              <w:marLeft w:val="0"/>
              <w:marRight w:val="0"/>
              <w:marTop w:val="0"/>
              <w:marBottom w:val="0"/>
              <w:divBdr>
                <w:top w:val="none" w:sz="0" w:space="0" w:color="auto"/>
                <w:left w:val="none" w:sz="0" w:space="0" w:color="auto"/>
                <w:bottom w:val="none" w:sz="0" w:space="0" w:color="auto"/>
                <w:right w:val="none" w:sz="0" w:space="0" w:color="auto"/>
              </w:divBdr>
              <w:divsChild>
                <w:div w:id="1120997255">
                  <w:marLeft w:val="0"/>
                  <w:marRight w:val="0"/>
                  <w:marTop w:val="0"/>
                  <w:marBottom w:val="0"/>
                  <w:divBdr>
                    <w:top w:val="none" w:sz="0" w:space="0" w:color="auto"/>
                    <w:left w:val="none" w:sz="0" w:space="0" w:color="auto"/>
                    <w:bottom w:val="none" w:sz="0" w:space="0" w:color="auto"/>
                    <w:right w:val="none" w:sz="0" w:space="0" w:color="auto"/>
                  </w:divBdr>
                  <w:divsChild>
                    <w:div w:id="6216135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8617092">
          <w:marLeft w:val="0"/>
          <w:marRight w:val="0"/>
          <w:marTop w:val="0"/>
          <w:marBottom w:val="0"/>
          <w:divBdr>
            <w:top w:val="none" w:sz="0" w:space="0" w:color="auto"/>
            <w:left w:val="none" w:sz="0" w:space="0" w:color="auto"/>
            <w:bottom w:val="none" w:sz="0" w:space="0" w:color="auto"/>
            <w:right w:val="none" w:sz="0" w:space="0" w:color="auto"/>
          </w:divBdr>
          <w:divsChild>
            <w:div w:id="963271206">
              <w:marLeft w:val="0"/>
              <w:marRight w:val="0"/>
              <w:marTop w:val="0"/>
              <w:marBottom w:val="0"/>
              <w:divBdr>
                <w:top w:val="none" w:sz="0" w:space="0" w:color="auto"/>
                <w:left w:val="none" w:sz="0" w:space="0" w:color="auto"/>
                <w:bottom w:val="none" w:sz="0" w:space="0" w:color="auto"/>
                <w:right w:val="none" w:sz="0" w:space="0" w:color="auto"/>
              </w:divBdr>
              <w:divsChild>
                <w:div w:id="1837722429">
                  <w:marLeft w:val="0"/>
                  <w:marRight w:val="0"/>
                  <w:marTop w:val="0"/>
                  <w:marBottom w:val="0"/>
                  <w:divBdr>
                    <w:top w:val="none" w:sz="0" w:space="0" w:color="auto"/>
                    <w:left w:val="none" w:sz="0" w:space="0" w:color="auto"/>
                    <w:bottom w:val="none" w:sz="0" w:space="0" w:color="auto"/>
                    <w:right w:val="none" w:sz="0" w:space="0" w:color="auto"/>
                  </w:divBdr>
                  <w:divsChild>
                    <w:div w:id="2059888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26280531">
      <w:bodyDiv w:val="1"/>
      <w:marLeft w:val="0"/>
      <w:marRight w:val="0"/>
      <w:marTop w:val="0"/>
      <w:marBottom w:val="0"/>
      <w:divBdr>
        <w:top w:val="none" w:sz="0" w:space="0" w:color="auto"/>
        <w:left w:val="none" w:sz="0" w:space="0" w:color="auto"/>
        <w:bottom w:val="none" w:sz="0" w:space="0" w:color="auto"/>
        <w:right w:val="none" w:sz="0" w:space="0" w:color="auto"/>
      </w:divBdr>
    </w:div>
    <w:div w:id="1345089537">
      <w:bodyDiv w:val="1"/>
      <w:marLeft w:val="0"/>
      <w:marRight w:val="0"/>
      <w:marTop w:val="0"/>
      <w:marBottom w:val="0"/>
      <w:divBdr>
        <w:top w:val="none" w:sz="0" w:space="0" w:color="auto"/>
        <w:left w:val="none" w:sz="0" w:space="0" w:color="auto"/>
        <w:bottom w:val="none" w:sz="0" w:space="0" w:color="auto"/>
        <w:right w:val="none" w:sz="0" w:space="0" w:color="auto"/>
      </w:divBdr>
      <w:divsChild>
        <w:div w:id="12657628">
          <w:marLeft w:val="0"/>
          <w:marRight w:val="0"/>
          <w:marTop w:val="0"/>
          <w:marBottom w:val="0"/>
          <w:divBdr>
            <w:top w:val="none" w:sz="0" w:space="0" w:color="auto"/>
            <w:left w:val="none" w:sz="0" w:space="0" w:color="auto"/>
            <w:bottom w:val="none" w:sz="0" w:space="0" w:color="auto"/>
            <w:right w:val="none" w:sz="0" w:space="0" w:color="auto"/>
          </w:divBdr>
          <w:divsChild>
            <w:div w:id="1729576347">
              <w:marLeft w:val="0"/>
              <w:marRight w:val="0"/>
              <w:marTop w:val="0"/>
              <w:marBottom w:val="0"/>
              <w:divBdr>
                <w:top w:val="none" w:sz="0" w:space="0" w:color="auto"/>
                <w:left w:val="none" w:sz="0" w:space="0" w:color="auto"/>
                <w:bottom w:val="none" w:sz="0" w:space="0" w:color="auto"/>
                <w:right w:val="none" w:sz="0" w:space="0" w:color="auto"/>
              </w:divBdr>
              <w:divsChild>
                <w:div w:id="606735263">
                  <w:marLeft w:val="0"/>
                  <w:marRight w:val="0"/>
                  <w:marTop w:val="0"/>
                  <w:marBottom w:val="0"/>
                  <w:divBdr>
                    <w:top w:val="none" w:sz="0" w:space="0" w:color="auto"/>
                    <w:left w:val="none" w:sz="0" w:space="0" w:color="auto"/>
                    <w:bottom w:val="none" w:sz="0" w:space="0" w:color="auto"/>
                    <w:right w:val="none" w:sz="0" w:space="0" w:color="auto"/>
                  </w:divBdr>
                  <w:divsChild>
                    <w:div w:id="744256651">
                      <w:marLeft w:val="0"/>
                      <w:marRight w:val="0"/>
                      <w:marTop w:val="0"/>
                      <w:marBottom w:val="0"/>
                      <w:divBdr>
                        <w:top w:val="none" w:sz="0" w:space="0" w:color="auto"/>
                        <w:left w:val="none" w:sz="0" w:space="0" w:color="auto"/>
                        <w:bottom w:val="none" w:sz="0" w:space="0" w:color="auto"/>
                        <w:right w:val="none" w:sz="0" w:space="0" w:color="auto"/>
                      </w:divBdr>
                      <w:divsChild>
                        <w:div w:id="1717467539">
                          <w:marLeft w:val="0"/>
                          <w:marRight w:val="0"/>
                          <w:marTop w:val="0"/>
                          <w:marBottom w:val="0"/>
                          <w:divBdr>
                            <w:top w:val="none" w:sz="0" w:space="0" w:color="auto"/>
                            <w:left w:val="none" w:sz="0" w:space="0" w:color="auto"/>
                            <w:bottom w:val="none" w:sz="0" w:space="0" w:color="auto"/>
                            <w:right w:val="none" w:sz="0" w:space="0" w:color="auto"/>
                          </w:divBdr>
                          <w:divsChild>
                            <w:div w:id="21137453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53801548">
      <w:bodyDiv w:val="1"/>
      <w:marLeft w:val="0"/>
      <w:marRight w:val="0"/>
      <w:marTop w:val="0"/>
      <w:marBottom w:val="0"/>
      <w:divBdr>
        <w:top w:val="none" w:sz="0" w:space="0" w:color="auto"/>
        <w:left w:val="none" w:sz="0" w:space="0" w:color="auto"/>
        <w:bottom w:val="none" w:sz="0" w:space="0" w:color="auto"/>
        <w:right w:val="none" w:sz="0" w:space="0" w:color="auto"/>
      </w:divBdr>
      <w:divsChild>
        <w:div w:id="1570379337">
          <w:marLeft w:val="0"/>
          <w:marRight w:val="0"/>
          <w:marTop w:val="0"/>
          <w:marBottom w:val="0"/>
          <w:divBdr>
            <w:top w:val="none" w:sz="0" w:space="0" w:color="auto"/>
            <w:left w:val="none" w:sz="0" w:space="0" w:color="auto"/>
            <w:bottom w:val="none" w:sz="0" w:space="0" w:color="auto"/>
            <w:right w:val="none" w:sz="0" w:space="0" w:color="auto"/>
          </w:divBdr>
          <w:divsChild>
            <w:div w:id="1924952348">
              <w:marLeft w:val="0"/>
              <w:marRight w:val="0"/>
              <w:marTop w:val="0"/>
              <w:marBottom w:val="0"/>
              <w:divBdr>
                <w:top w:val="none" w:sz="0" w:space="0" w:color="auto"/>
                <w:left w:val="none" w:sz="0" w:space="0" w:color="auto"/>
                <w:bottom w:val="none" w:sz="0" w:space="0" w:color="auto"/>
                <w:right w:val="none" w:sz="0" w:space="0" w:color="auto"/>
              </w:divBdr>
              <w:divsChild>
                <w:div w:id="1861555">
                  <w:marLeft w:val="0"/>
                  <w:marRight w:val="0"/>
                  <w:marTop w:val="0"/>
                  <w:marBottom w:val="0"/>
                  <w:divBdr>
                    <w:top w:val="none" w:sz="0" w:space="0" w:color="auto"/>
                    <w:left w:val="none" w:sz="0" w:space="0" w:color="auto"/>
                    <w:bottom w:val="none" w:sz="0" w:space="0" w:color="auto"/>
                    <w:right w:val="none" w:sz="0" w:space="0" w:color="auto"/>
                  </w:divBdr>
                  <w:divsChild>
                    <w:div w:id="8806339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13921419">
          <w:marLeft w:val="0"/>
          <w:marRight w:val="0"/>
          <w:marTop w:val="0"/>
          <w:marBottom w:val="0"/>
          <w:divBdr>
            <w:top w:val="none" w:sz="0" w:space="0" w:color="auto"/>
            <w:left w:val="none" w:sz="0" w:space="0" w:color="auto"/>
            <w:bottom w:val="none" w:sz="0" w:space="0" w:color="auto"/>
            <w:right w:val="none" w:sz="0" w:space="0" w:color="auto"/>
          </w:divBdr>
          <w:divsChild>
            <w:div w:id="710618789">
              <w:marLeft w:val="0"/>
              <w:marRight w:val="0"/>
              <w:marTop w:val="0"/>
              <w:marBottom w:val="0"/>
              <w:divBdr>
                <w:top w:val="none" w:sz="0" w:space="0" w:color="auto"/>
                <w:left w:val="none" w:sz="0" w:space="0" w:color="auto"/>
                <w:bottom w:val="none" w:sz="0" w:space="0" w:color="auto"/>
                <w:right w:val="none" w:sz="0" w:space="0" w:color="auto"/>
              </w:divBdr>
              <w:divsChild>
                <w:div w:id="1752433105">
                  <w:marLeft w:val="0"/>
                  <w:marRight w:val="0"/>
                  <w:marTop w:val="0"/>
                  <w:marBottom w:val="0"/>
                  <w:divBdr>
                    <w:top w:val="none" w:sz="0" w:space="0" w:color="auto"/>
                    <w:left w:val="none" w:sz="0" w:space="0" w:color="auto"/>
                    <w:bottom w:val="none" w:sz="0" w:space="0" w:color="auto"/>
                    <w:right w:val="none" w:sz="0" w:space="0" w:color="auto"/>
                  </w:divBdr>
                  <w:divsChild>
                    <w:div w:id="19955294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58971500">
      <w:bodyDiv w:val="1"/>
      <w:marLeft w:val="0"/>
      <w:marRight w:val="0"/>
      <w:marTop w:val="0"/>
      <w:marBottom w:val="0"/>
      <w:divBdr>
        <w:top w:val="none" w:sz="0" w:space="0" w:color="auto"/>
        <w:left w:val="none" w:sz="0" w:space="0" w:color="auto"/>
        <w:bottom w:val="none" w:sz="0" w:space="0" w:color="auto"/>
        <w:right w:val="none" w:sz="0" w:space="0" w:color="auto"/>
      </w:divBdr>
    </w:div>
    <w:div w:id="1378629891">
      <w:bodyDiv w:val="1"/>
      <w:marLeft w:val="0"/>
      <w:marRight w:val="0"/>
      <w:marTop w:val="0"/>
      <w:marBottom w:val="0"/>
      <w:divBdr>
        <w:top w:val="none" w:sz="0" w:space="0" w:color="auto"/>
        <w:left w:val="none" w:sz="0" w:space="0" w:color="auto"/>
        <w:bottom w:val="none" w:sz="0" w:space="0" w:color="auto"/>
        <w:right w:val="none" w:sz="0" w:space="0" w:color="auto"/>
      </w:divBdr>
    </w:div>
    <w:div w:id="1414350505">
      <w:bodyDiv w:val="1"/>
      <w:marLeft w:val="0"/>
      <w:marRight w:val="0"/>
      <w:marTop w:val="0"/>
      <w:marBottom w:val="0"/>
      <w:divBdr>
        <w:top w:val="none" w:sz="0" w:space="0" w:color="auto"/>
        <w:left w:val="none" w:sz="0" w:space="0" w:color="auto"/>
        <w:bottom w:val="none" w:sz="0" w:space="0" w:color="auto"/>
        <w:right w:val="none" w:sz="0" w:space="0" w:color="auto"/>
      </w:divBdr>
    </w:div>
    <w:div w:id="1434126103">
      <w:bodyDiv w:val="1"/>
      <w:marLeft w:val="0"/>
      <w:marRight w:val="0"/>
      <w:marTop w:val="0"/>
      <w:marBottom w:val="0"/>
      <w:divBdr>
        <w:top w:val="none" w:sz="0" w:space="0" w:color="auto"/>
        <w:left w:val="none" w:sz="0" w:space="0" w:color="auto"/>
        <w:bottom w:val="none" w:sz="0" w:space="0" w:color="auto"/>
        <w:right w:val="none" w:sz="0" w:space="0" w:color="auto"/>
      </w:divBdr>
    </w:div>
    <w:div w:id="1452093850">
      <w:bodyDiv w:val="1"/>
      <w:marLeft w:val="0"/>
      <w:marRight w:val="0"/>
      <w:marTop w:val="0"/>
      <w:marBottom w:val="0"/>
      <w:divBdr>
        <w:top w:val="none" w:sz="0" w:space="0" w:color="auto"/>
        <w:left w:val="none" w:sz="0" w:space="0" w:color="auto"/>
        <w:bottom w:val="none" w:sz="0" w:space="0" w:color="auto"/>
        <w:right w:val="none" w:sz="0" w:space="0" w:color="auto"/>
      </w:divBdr>
    </w:div>
    <w:div w:id="1475180324">
      <w:bodyDiv w:val="1"/>
      <w:marLeft w:val="0"/>
      <w:marRight w:val="0"/>
      <w:marTop w:val="0"/>
      <w:marBottom w:val="0"/>
      <w:divBdr>
        <w:top w:val="none" w:sz="0" w:space="0" w:color="auto"/>
        <w:left w:val="none" w:sz="0" w:space="0" w:color="auto"/>
        <w:bottom w:val="none" w:sz="0" w:space="0" w:color="auto"/>
        <w:right w:val="none" w:sz="0" w:space="0" w:color="auto"/>
      </w:divBdr>
    </w:div>
    <w:div w:id="1501238454">
      <w:bodyDiv w:val="1"/>
      <w:marLeft w:val="0"/>
      <w:marRight w:val="0"/>
      <w:marTop w:val="0"/>
      <w:marBottom w:val="0"/>
      <w:divBdr>
        <w:top w:val="none" w:sz="0" w:space="0" w:color="auto"/>
        <w:left w:val="none" w:sz="0" w:space="0" w:color="auto"/>
        <w:bottom w:val="none" w:sz="0" w:space="0" w:color="auto"/>
        <w:right w:val="none" w:sz="0" w:space="0" w:color="auto"/>
      </w:divBdr>
    </w:div>
    <w:div w:id="1521042479">
      <w:bodyDiv w:val="1"/>
      <w:marLeft w:val="0"/>
      <w:marRight w:val="0"/>
      <w:marTop w:val="0"/>
      <w:marBottom w:val="0"/>
      <w:divBdr>
        <w:top w:val="none" w:sz="0" w:space="0" w:color="auto"/>
        <w:left w:val="none" w:sz="0" w:space="0" w:color="auto"/>
        <w:bottom w:val="none" w:sz="0" w:space="0" w:color="auto"/>
        <w:right w:val="none" w:sz="0" w:space="0" w:color="auto"/>
      </w:divBdr>
    </w:div>
    <w:div w:id="1556309916">
      <w:bodyDiv w:val="1"/>
      <w:marLeft w:val="0"/>
      <w:marRight w:val="0"/>
      <w:marTop w:val="0"/>
      <w:marBottom w:val="0"/>
      <w:divBdr>
        <w:top w:val="none" w:sz="0" w:space="0" w:color="auto"/>
        <w:left w:val="none" w:sz="0" w:space="0" w:color="auto"/>
        <w:bottom w:val="none" w:sz="0" w:space="0" w:color="auto"/>
        <w:right w:val="none" w:sz="0" w:space="0" w:color="auto"/>
      </w:divBdr>
    </w:div>
    <w:div w:id="1558512207">
      <w:bodyDiv w:val="1"/>
      <w:marLeft w:val="0"/>
      <w:marRight w:val="0"/>
      <w:marTop w:val="0"/>
      <w:marBottom w:val="0"/>
      <w:divBdr>
        <w:top w:val="none" w:sz="0" w:space="0" w:color="auto"/>
        <w:left w:val="none" w:sz="0" w:space="0" w:color="auto"/>
        <w:bottom w:val="none" w:sz="0" w:space="0" w:color="auto"/>
        <w:right w:val="none" w:sz="0" w:space="0" w:color="auto"/>
      </w:divBdr>
    </w:div>
    <w:div w:id="1581141550">
      <w:bodyDiv w:val="1"/>
      <w:marLeft w:val="0"/>
      <w:marRight w:val="0"/>
      <w:marTop w:val="0"/>
      <w:marBottom w:val="0"/>
      <w:divBdr>
        <w:top w:val="none" w:sz="0" w:space="0" w:color="auto"/>
        <w:left w:val="none" w:sz="0" w:space="0" w:color="auto"/>
        <w:bottom w:val="none" w:sz="0" w:space="0" w:color="auto"/>
        <w:right w:val="none" w:sz="0" w:space="0" w:color="auto"/>
      </w:divBdr>
    </w:div>
    <w:div w:id="1601330568">
      <w:bodyDiv w:val="1"/>
      <w:marLeft w:val="0"/>
      <w:marRight w:val="0"/>
      <w:marTop w:val="0"/>
      <w:marBottom w:val="0"/>
      <w:divBdr>
        <w:top w:val="none" w:sz="0" w:space="0" w:color="auto"/>
        <w:left w:val="none" w:sz="0" w:space="0" w:color="auto"/>
        <w:bottom w:val="none" w:sz="0" w:space="0" w:color="auto"/>
        <w:right w:val="none" w:sz="0" w:space="0" w:color="auto"/>
      </w:divBdr>
    </w:div>
    <w:div w:id="1606304249">
      <w:bodyDiv w:val="1"/>
      <w:marLeft w:val="0"/>
      <w:marRight w:val="0"/>
      <w:marTop w:val="0"/>
      <w:marBottom w:val="0"/>
      <w:divBdr>
        <w:top w:val="none" w:sz="0" w:space="0" w:color="auto"/>
        <w:left w:val="none" w:sz="0" w:space="0" w:color="auto"/>
        <w:bottom w:val="none" w:sz="0" w:space="0" w:color="auto"/>
        <w:right w:val="none" w:sz="0" w:space="0" w:color="auto"/>
      </w:divBdr>
      <w:divsChild>
        <w:div w:id="1817455671">
          <w:marLeft w:val="0"/>
          <w:marRight w:val="0"/>
          <w:marTop w:val="0"/>
          <w:marBottom w:val="0"/>
          <w:divBdr>
            <w:top w:val="none" w:sz="0" w:space="0" w:color="auto"/>
            <w:left w:val="none" w:sz="0" w:space="0" w:color="auto"/>
            <w:bottom w:val="none" w:sz="0" w:space="0" w:color="auto"/>
            <w:right w:val="none" w:sz="0" w:space="0" w:color="auto"/>
          </w:divBdr>
          <w:divsChild>
            <w:div w:id="1881242255">
              <w:marLeft w:val="0"/>
              <w:marRight w:val="0"/>
              <w:marTop w:val="0"/>
              <w:marBottom w:val="0"/>
              <w:divBdr>
                <w:top w:val="none" w:sz="0" w:space="0" w:color="auto"/>
                <w:left w:val="none" w:sz="0" w:space="0" w:color="auto"/>
                <w:bottom w:val="none" w:sz="0" w:space="0" w:color="auto"/>
                <w:right w:val="none" w:sz="0" w:space="0" w:color="auto"/>
              </w:divBdr>
              <w:divsChild>
                <w:div w:id="811403928">
                  <w:marLeft w:val="0"/>
                  <w:marRight w:val="0"/>
                  <w:marTop w:val="0"/>
                  <w:marBottom w:val="0"/>
                  <w:divBdr>
                    <w:top w:val="none" w:sz="0" w:space="0" w:color="auto"/>
                    <w:left w:val="none" w:sz="0" w:space="0" w:color="auto"/>
                    <w:bottom w:val="none" w:sz="0" w:space="0" w:color="auto"/>
                    <w:right w:val="none" w:sz="0" w:space="0" w:color="auto"/>
                  </w:divBdr>
                  <w:divsChild>
                    <w:div w:id="364063194">
                      <w:marLeft w:val="0"/>
                      <w:marRight w:val="0"/>
                      <w:marTop w:val="0"/>
                      <w:marBottom w:val="0"/>
                      <w:divBdr>
                        <w:top w:val="none" w:sz="0" w:space="0" w:color="auto"/>
                        <w:left w:val="none" w:sz="0" w:space="0" w:color="auto"/>
                        <w:bottom w:val="none" w:sz="0" w:space="0" w:color="auto"/>
                        <w:right w:val="none" w:sz="0" w:space="0" w:color="auto"/>
                      </w:divBdr>
                      <w:divsChild>
                        <w:div w:id="1276988293">
                          <w:marLeft w:val="0"/>
                          <w:marRight w:val="0"/>
                          <w:marTop w:val="0"/>
                          <w:marBottom w:val="0"/>
                          <w:divBdr>
                            <w:top w:val="none" w:sz="0" w:space="0" w:color="auto"/>
                            <w:left w:val="none" w:sz="0" w:space="0" w:color="auto"/>
                            <w:bottom w:val="none" w:sz="0" w:space="0" w:color="auto"/>
                            <w:right w:val="none" w:sz="0" w:space="0" w:color="auto"/>
                          </w:divBdr>
                        </w:div>
                        <w:div w:id="2007970779">
                          <w:marLeft w:val="0"/>
                          <w:marRight w:val="0"/>
                          <w:marTop w:val="0"/>
                          <w:marBottom w:val="0"/>
                          <w:divBdr>
                            <w:top w:val="none" w:sz="0" w:space="0" w:color="auto"/>
                            <w:left w:val="none" w:sz="0" w:space="0" w:color="auto"/>
                            <w:bottom w:val="none" w:sz="0" w:space="0" w:color="auto"/>
                            <w:right w:val="none" w:sz="0" w:space="0" w:color="auto"/>
                          </w:divBdr>
                        </w:div>
                        <w:div w:id="2070181771">
                          <w:marLeft w:val="0"/>
                          <w:marRight w:val="0"/>
                          <w:marTop w:val="0"/>
                          <w:marBottom w:val="0"/>
                          <w:divBdr>
                            <w:top w:val="none" w:sz="0" w:space="0" w:color="auto"/>
                            <w:left w:val="none" w:sz="0" w:space="0" w:color="auto"/>
                            <w:bottom w:val="none" w:sz="0" w:space="0" w:color="auto"/>
                            <w:right w:val="none" w:sz="0" w:space="0" w:color="auto"/>
                          </w:divBdr>
                        </w:div>
                        <w:div w:id="98526749">
                          <w:marLeft w:val="0"/>
                          <w:marRight w:val="0"/>
                          <w:marTop w:val="0"/>
                          <w:marBottom w:val="0"/>
                          <w:divBdr>
                            <w:top w:val="none" w:sz="0" w:space="0" w:color="auto"/>
                            <w:left w:val="none" w:sz="0" w:space="0" w:color="auto"/>
                            <w:bottom w:val="none" w:sz="0" w:space="0" w:color="auto"/>
                            <w:right w:val="none" w:sz="0" w:space="0" w:color="auto"/>
                          </w:divBdr>
                          <w:divsChild>
                            <w:div w:id="1944610558">
                              <w:marLeft w:val="0"/>
                              <w:marRight w:val="0"/>
                              <w:marTop w:val="0"/>
                              <w:marBottom w:val="0"/>
                              <w:divBdr>
                                <w:top w:val="none" w:sz="0" w:space="0" w:color="auto"/>
                                <w:left w:val="none" w:sz="0" w:space="0" w:color="auto"/>
                                <w:bottom w:val="none" w:sz="0" w:space="0" w:color="auto"/>
                                <w:right w:val="none" w:sz="0" w:space="0" w:color="auto"/>
                              </w:divBdr>
                            </w:div>
                            <w:div w:id="110974388">
                              <w:marLeft w:val="0"/>
                              <w:marRight w:val="0"/>
                              <w:marTop w:val="0"/>
                              <w:marBottom w:val="0"/>
                              <w:divBdr>
                                <w:top w:val="none" w:sz="0" w:space="0" w:color="auto"/>
                                <w:left w:val="none" w:sz="0" w:space="0" w:color="auto"/>
                                <w:bottom w:val="none" w:sz="0" w:space="0" w:color="auto"/>
                                <w:right w:val="none" w:sz="0" w:space="0" w:color="auto"/>
                              </w:divBdr>
                              <w:divsChild>
                                <w:div w:id="1014650994">
                                  <w:marLeft w:val="0"/>
                                  <w:marRight w:val="0"/>
                                  <w:marTop w:val="0"/>
                                  <w:marBottom w:val="0"/>
                                  <w:divBdr>
                                    <w:top w:val="none" w:sz="0" w:space="0" w:color="auto"/>
                                    <w:left w:val="none" w:sz="0" w:space="0" w:color="auto"/>
                                    <w:bottom w:val="none" w:sz="0" w:space="0" w:color="auto"/>
                                    <w:right w:val="none" w:sz="0" w:space="0" w:color="auto"/>
                                  </w:divBdr>
                                </w:div>
                                <w:div w:id="927662714">
                                  <w:marLeft w:val="0"/>
                                  <w:marRight w:val="0"/>
                                  <w:marTop w:val="0"/>
                                  <w:marBottom w:val="0"/>
                                  <w:divBdr>
                                    <w:top w:val="none" w:sz="0" w:space="0" w:color="auto"/>
                                    <w:left w:val="none" w:sz="0" w:space="0" w:color="auto"/>
                                    <w:bottom w:val="none" w:sz="0" w:space="0" w:color="auto"/>
                                    <w:right w:val="none" w:sz="0" w:space="0" w:color="auto"/>
                                  </w:divBdr>
                                </w:div>
                                <w:div w:id="4039209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50211956">
      <w:bodyDiv w:val="1"/>
      <w:marLeft w:val="0"/>
      <w:marRight w:val="0"/>
      <w:marTop w:val="0"/>
      <w:marBottom w:val="0"/>
      <w:divBdr>
        <w:top w:val="none" w:sz="0" w:space="0" w:color="auto"/>
        <w:left w:val="none" w:sz="0" w:space="0" w:color="auto"/>
        <w:bottom w:val="none" w:sz="0" w:space="0" w:color="auto"/>
        <w:right w:val="none" w:sz="0" w:space="0" w:color="auto"/>
      </w:divBdr>
    </w:div>
    <w:div w:id="1723476547">
      <w:bodyDiv w:val="1"/>
      <w:marLeft w:val="0"/>
      <w:marRight w:val="0"/>
      <w:marTop w:val="0"/>
      <w:marBottom w:val="0"/>
      <w:divBdr>
        <w:top w:val="none" w:sz="0" w:space="0" w:color="auto"/>
        <w:left w:val="none" w:sz="0" w:space="0" w:color="auto"/>
        <w:bottom w:val="none" w:sz="0" w:space="0" w:color="auto"/>
        <w:right w:val="none" w:sz="0" w:space="0" w:color="auto"/>
      </w:divBdr>
      <w:divsChild>
        <w:div w:id="1239830249">
          <w:marLeft w:val="0"/>
          <w:marRight w:val="0"/>
          <w:marTop w:val="0"/>
          <w:marBottom w:val="0"/>
          <w:divBdr>
            <w:top w:val="none" w:sz="0" w:space="0" w:color="auto"/>
            <w:left w:val="none" w:sz="0" w:space="0" w:color="auto"/>
            <w:bottom w:val="none" w:sz="0" w:space="0" w:color="auto"/>
            <w:right w:val="none" w:sz="0" w:space="0" w:color="auto"/>
          </w:divBdr>
          <w:divsChild>
            <w:div w:id="1679427486">
              <w:marLeft w:val="0"/>
              <w:marRight w:val="0"/>
              <w:marTop w:val="0"/>
              <w:marBottom w:val="0"/>
              <w:divBdr>
                <w:top w:val="none" w:sz="0" w:space="0" w:color="auto"/>
                <w:left w:val="none" w:sz="0" w:space="0" w:color="auto"/>
                <w:bottom w:val="none" w:sz="0" w:space="0" w:color="auto"/>
                <w:right w:val="none" w:sz="0" w:space="0" w:color="auto"/>
              </w:divBdr>
              <w:divsChild>
                <w:div w:id="1728869577">
                  <w:marLeft w:val="0"/>
                  <w:marRight w:val="0"/>
                  <w:marTop w:val="0"/>
                  <w:marBottom w:val="0"/>
                  <w:divBdr>
                    <w:top w:val="none" w:sz="0" w:space="0" w:color="auto"/>
                    <w:left w:val="none" w:sz="0" w:space="0" w:color="auto"/>
                    <w:bottom w:val="none" w:sz="0" w:space="0" w:color="auto"/>
                    <w:right w:val="none" w:sz="0" w:space="0" w:color="auto"/>
                  </w:divBdr>
                  <w:divsChild>
                    <w:div w:id="2482716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6363491">
          <w:marLeft w:val="0"/>
          <w:marRight w:val="0"/>
          <w:marTop w:val="0"/>
          <w:marBottom w:val="0"/>
          <w:divBdr>
            <w:top w:val="none" w:sz="0" w:space="0" w:color="auto"/>
            <w:left w:val="none" w:sz="0" w:space="0" w:color="auto"/>
            <w:bottom w:val="none" w:sz="0" w:space="0" w:color="auto"/>
            <w:right w:val="none" w:sz="0" w:space="0" w:color="auto"/>
          </w:divBdr>
          <w:divsChild>
            <w:div w:id="1008681493">
              <w:marLeft w:val="0"/>
              <w:marRight w:val="0"/>
              <w:marTop w:val="0"/>
              <w:marBottom w:val="0"/>
              <w:divBdr>
                <w:top w:val="none" w:sz="0" w:space="0" w:color="auto"/>
                <w:left w:val="none" w:sz="0" w:space="0" w:color="auto"/>
                <w:bottom w:val="none" w:sz="0" w:space="0" w:color="auto"/>
                <w:right w:val="none" w:sz="0" w:space="0" w:color="auto"/>
              </w:divBdr>
              <w:divsChild>
                <w:div w:id="154419676">
                  <w:marLeft w:val="0"/>
                  <w:marRight w:val="0"/>
                  <w:marTop w:val="0"/>
                  <w:marBottom w:val="0"/>
                  <w:divBdr>
                    <w:top w:val="none" w:sz="0" w:space="0" w:color="auto"/>
                    <w:left w:val="none" w:sz="0" w:space="0" w:color="auto"/>
                    <w:bottom w:val="none" w:sz="0" w:space="0" w:color="auto"/>
                    <w:right w:val="none" w:sz="0" w:space="0" w:color="auto"/>
                  </w:divBdr>
                  <w:divsChild>
                    <w:div w:id="17366652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83185375">
      <w:bodyDiv w:val="1"/>
      <w:marLeft w:val="0"/>
      <w:marRight w:val="0"/>
      <w:marTop w:val="0"/>
      <w:marBottom w:val="0"/>
      <w:divBdr>
        <w:top w:val="none" w:sz="0" w:space="0" w:color="auto"/>
        <w:left w:val="none" w:sz="0" w:space="0" w:color="auto"/>
        <w:bottom w:val="none" w:sz="0" w:space="0" w:color="auto"/>
        <w:right w:val="none" w:sz="0" w:space="0" w:color="auto"/>
      </w:divBdr>
    </w:div>
    <w:div w:id="1813670957">
      <w:bodyDiv w:val="1"/>
      <w:marLeft w:val="0"/>
      <w:marRight w:val="0"/>
      <w:marTop w:val="0"/>
      <w:marBottom w:val="0"/>
      <w:divBdr>
        <w:top w:val="none" w:sz="0" w:space="0" w:color="auto"/>
        <w:left w:val="none" w:sz="0" w:space="0" w:color="auto"/>
        <w:bottom w:val="none" w:sz="0" w:space="0" w:color="auto"/>
        <w:right w:val="none" w:sz="0" w:space="0" w:color="auto"/>
      </w:divBdr>
    </w:div>
    <w:div w:id="1862816865">
      <w:bodyDiv w:val="1"/>
      <w:marLeft w:val="0"/>
      <w:marRight w:val="0"/>
      <w:marTop w:val="0"/>
      <w:marBottom w:val="0"/>
      <w:divBdr>
        <w:top w:val="none" w:sz="0" w:space="0" w:color="auto"/>
        <w:left w:val="none" w:sz="0" w:space="0" w:color="auto"/>
        <w:bottom w:val="none" w:sz="0" w:space="0" w:color="auto"/>
        <w:right w:val="none" w:sz="0" w:space="0" w:color="auto"/>
      </w:divBdr>
    </w:div>
    <w:div w:id="1869446319">
      <w:bodyDiv w:val="1"/>
      <w:marLeft w:val="0"/>
      <w:marRight w:val="0"/>
      <w:marTop w:val="0"/>
      <w:marBottom w:val="0"/>
      <w:divBdr>
        <w:top w:val="none" w:sz="0" w:space="0" w:color="auto"/>
        <w:left w:val="none" w:sz="0" w:space="0" w:color="auto"/>
        <w:bottom w:val="none" w:sz="0" w:space="0" w:color="auto"/>
        <w:right w:val="none" w:sz="0" w:space="0" w:color="auto"/>
      </w:divBdr>
    </w:div>
    <w:div w:id="1900431818">
      <w:bodyDiv w:val="1"/>
      <w:marLeft w:val="0"/>
      <w:marRight w:val="0"/>
      <w:marTop w:val="0"/>
      <w:marBottom w:val="0"/>
      <w:divBdr>
        <w:top w:val="none" w:sz="0" w:space="0" w:color="auto"/>
        <w:left w:val="none" w:sz="0" w:space="0" w:color="auto"/>
        <w:bottom w:val="none" w:sz="0" w:space="0" w:color="auto"/>
        <w:right w:val="none" w:sz="0" w:space="0" w:color="auto"/>
      </w:divBdr>
    </w:div>
    <w:div w:id="1922712343">
      <w:bodyDiv w:val="1"/>
      <w:marLeft w:val="0"/>
      <w:marRight w:val="0"/>
      <w:marTop w:val="0"/>
      <w:marBottom w:val="0"/>
      <w:divBdr>
        <w:top w:val="none" w:sz="0" w:space="0" w:color="auto"/>
        <w:left w:val="none" w:sz="0" w:space="0" w:color="auto"/>
        <w:bottom w:val="none" w:sz="0" w:space="0" w:color="auto"/>
        <w:right w:val="none" w:sz="0" w:space="0" w:color="auto"/>
      </w:divBdr>
    </w:div>
    <w:div w:id="1930918821">
      <w:bodyDiv w:val="1"/>
      <w:marLeft w:val="0"/>
      <w:marRight w:val="0"/>
      <w:marTop w:val="0"/>
      <w:marBottom w:val="0"/>
      <w:divBdr>
        <w:top w:val="none" w:sz="0" w:space="0" w:color="auto"/>
        <w:left w:val="none" w:sz="0" w:space="0" w:color="auto"/>
        <w:bottom w:val="none" w:sz="0" w:space="0" w:color="auto"/>
        <w:right w:val="none" w:sz="0" w:space="0" w:color="auto"/>
      </w:divBdr>
    </w:div>
    <w:div w:id="1969703780">
      <w:bodyDiv w:val="1"/>
      <w:marLeft w:val="0"/>
      <w:marRight w:val="0"/>
      <w:marTop w:val="0"/>
      <w:marBottom w:val="0"/>
      <w:divBdr>
        <w:top w:val="none" w:sz="0" w:space="0" w:color="auto"/>
        <w:left w:val="none" w:sz="0" w:space="0" w:color="auto"/>
        <w:bottom w:val="none" w:sz="0" w:space="0" w:color="auto"/>
        <w:right w:val="none" w:sz="0" w:space="0" w:color="auto"/>
      </w:divBdr>
    </w:div>
    <w:div w:id="2024621523">
      <w:bodyDiv w:val="1"/>
      <w:marLeft w:val="0"/>
      <w:marRight w:val="0"/>
      <w:marTop w:val="0"/>
      <w:marBottom w:val="0"/>
      <w:divBdr>
        <w:top w:val="none" w:sz="0" w:space="0" w:color="auto"/>
        <w:left w:val="none" w:sz="0" w:space="0" w:color="auto"/>
        <w:bottom w:val="none" w:sz="0" w:space="0" w:color="auto"/>
        <w:right w:val="none" w:sz="0" w:space="0" w:color="auto"/>
      </w:divBdr>
    </w:div>
    <w:div w:id="2076080540">
      <w:bodyDiv w:val="1"/>
      <w:marLeft w:val="0"/>
      <w:marRight w:val="0"/>
      <w:marTop w:val="0"/>
      <w:marBottom w:val="0"/>
      <w:divBdr>
        <w:top w:val="none" w:sz="0" w:space="0" w:color="auto"/>
        <w:left w:val="none" w:sz="0" w:space="0" w:color="auto"/>
        <w:bottom w:val="none" w:sz="0" w:space="0" w:color="auto"/>
        <w:right w:val="none" w:sz="0" w:space="0" w:color="auto"/>
      </w:divBdr>
    </w:div>
    <w:div w:id="2091004461">
      <w:bodyDiv w:val="1"/>
      <w:marLeft w:val="0"/>
      <w:marRight w:val="0"/>
      <w:marTop w:val="0"/>
      <w:marBottom w:val="0"/>
      <w:divBdr>
        <w:top w:val="none" w:sz="0" w:space="0" w:color="auto"/>
        <w:left w:val="none" w:sz="0" w:space="0" w:color="auto"/>
        <w:bottom w:val="none" w:sz="0" w:space="0" w:color="auto"/>
        <w:right w:val="none" w:sz="0" w:space="0" w:color="auto"/>
      </w:divBdr>
      <w:divsChild>
        <w:div w:id="1651248377">
          <w:marLeft w:val="0"/>
          <w:marRight w:val="0"/>
          <w:marTop w:val="0"/>
          <w:marBottom w:val="0"/>
          <w:divBdr>
            <w:top w:val="none" w:sz="0" w:space="0" w:color="auto"/>
            <w:left w:val="none" w:sz="0" w:space="0" w:color="auto"/>
            <w:bottom w:val="none" w:sz="0" w:space="0" w:color="auto"/>
            <w:right w:val="none" w:sz="0" w:space="0" w:color="auto"/>
          </w:divBdr>
        </w:div>
        <w:div w:id="1159005851">
          <w:marLeft w:val="0"/>
          <w:marRight w:val="0"/>
          <w:marTop w:val="0"/>
          <w:marBottom w:val="0"/>
          <w:divBdr>
            <w:top w:val="none" w:sz="0" w:space="0" w:color="auto"/>
            <w:left w:val="none" w:sz="0" w:space="0" w:color="auto"/>
            <w:bottom w:val="none" w:sz="0" w:space="0" w:color="auto"/>
            <w:right w:val="none" w:sz="0" w:space="0" w:color="auto"/>
          </w:divBdr>
        </w:div>
      </w:divsChild>
    </w:div>
    <w:div w:id="2111120406">
      <w:bodyDiv w:val="1"/>
      <w:marLeft w:val="0"/>
      <w:marRight w:val="0"/>
      <w:marTop w:val="0"/>
      <w:marBottom w:val="0"/>
      <w:divBdr>
        <w:top w:val="none" w:sz="0" w:space="0" w:color="auto"/>
        <w:left w:val="none" w:sz="0" w:space="0" w:color="auto"/>
        <w:bottom w:val="none" w:sz="0" w:space="0" w:color="auto"/>
        <w:right w:val="none" w:sz="0" w:space="0" w:color="auto"/>
      </w:divBdr>
    </w:div>
    <w:div w:id="2111317536">
      <w:bodyDiv w:val="1"/>
      <w:marLeft w:val="0"/>
      <w:marRight w:val="0"/>
      <w:marTop w:val="0"/>
      <w:marBottom w:val="0"/>
      <w:divBdr>
        <w:top w:val="none" w:sz="0" w:space="0" w:color="auto"/>
        <w:left w:val="none" w:sz="0" w:space="0" w:color="auto"/>
        <w:bottom w:val="none" w:sz="0" w:space="0" w:color="auto"/>
        <w:right w:val="none" w:sz="0" w:space="0" w:color="auto"/>
      </w:divBdr>
    </w:div>
    <w:div w:id="2116820711">
      <w:bodyDiv w:val="1"/>
      <w:marLeft w:val="0"/>
      <w:marRight w:val="0"/>
      <w:marTop w:val="0"/>
      <w:marBottom w:val="0"/>
      <w:divBdr>
        <w:top w:val="none" w:sz="0" w:space="0" w:color="auto"/>
        <w:left w:val="none" w:sz="0" w:space="0" w:color="auto"/>
        <w:bottom w:val="none" w:sz="0" w:space="0" w:color="auto"/>
        <w:right w:val="none" w:sz="0" w:space="0" w:color="auto"/>
      </w:divBdr>
    </w:div>
    <w:div w:id="2117822282">
      <w:bodyDiv w:val="1"/>
      <w:marLeft w:val="0"/>
      <w:marRight w:val="0"/>
      <w:marTop w:val="0"/>
      <w:marBottom w:val="0"/>
      <w:divBdr>
        <w:top w:val="none" w:sz="0" w:space="0" w:color="auto"/>
        <w:left w:val="none" w:sz="0" w:space="0" w:color="auto"/>
        <w:bottom w:val="none" w:sz="0" w:space="0" w:color="auto"/>
        <w:right w:val="none" w:sz="0" w:space="0" w:color="auto"/>
      </w:divBdr>
      <w:divsChild>
        <w:div w:id="1869027037">
          <w:marLeft w:val="0"/>
          <w:marRight w:val="0"/>
          <w:marTop w:val="0"/>
          <w:marBottom w:val="0"/>
          <w:divBdr>
            <w:top w:val="none" w:sz="0" w:space="0" w:color="auto"/>
            <w:left w:val="none" w:sz="0" w:space="0" w:color="auto"/>
            <w:bottom w:val="none" w:sz="0" w:space="0" w:color="auto"/>
            <w:right w:val="none" w:sz="0" w:space="0" w:color="auto"/>
          </w:divBdr>
        </w:div>
        <w:div w:id="296031622">
          <w:marLeft w:val="0"/>
          <w:marRight w:val="0"/>
          <w:marTop w:val="0"/>
          <w:marBottom w:val="0"/>
          <w:divBdr>
            <w:top w:val="none" w:sz="0" w:space="0" w:color="auto"/>
            <w:left w:val="none" w:sz="0" w:space="0" w:color="auto"/>
            <w:bottom w:val="none" w:sz="0" w:space="0" w:color="auto"/>
            <w:right w:val="none" w:sz="0" w:space="0" w:color="auto"/>
          </w:divBdr>
        </w:div>
        <w:div w:id="1217428957">
          <w:marLeft w:val="0"/>
          <w:marRight w:val="0"/>
          <w:marTop w:val="0"/>
          <w:marBottom w:val="0"/>
          <w:divBdr>
            <w:top w:val="none" w:sz="0" w:space="0" w:color="auto"/>
            <w:left w:val="none" w:sz="0" w:space="0" w:color="auto"/>
            <w:bottom w:val="none" w:sz="0" w:space="0" w:color="auto"/>
            <w:right w:val="none" w:sz="0" w:space="0" w:color="auto"/>
          </w:divBdr>
        </w:div>
        <w:div w:id="937639997">
          <w:marLeft w:val="0"/>
          <w:marRight w:val="0"/>
          <w:marTop w:val="0"/>
          <w:marBottom w:val="0"/>
          <w:divBdr>
            <w:top w:val="none" w:sz="0" w:space="0" w:color="auto"/>
            <w:left w:val="none" w:sz="0" w:space="0" w:color="auto"/>
            <w:bottom w:val="none" w:sz="0" w:space="0" w:color="auto"/>
            <w:right w:val="none" w:sz="0" w:space="0" w:color="auto"/>
          </w:divBdr>
        </w:div>
      </w:divsChild>
    </w:div>
    <w:div w:id="21406805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TotalTime>
  <Pages>4</Pages>
  <Words>1657</Words>
  <Characters>9119</Characters>
  <Application>Microsoft Office Word</Application>
  <DocSecurity>0</DocSecurity>
  <Lines>75</Lines>
  <Paragraphs>21</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10755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Georges Cherry</dc:creator>
  <cp:keywords/>
  <dc:description/>
  <cp:lastModifiedBy>Georges Cherry</cp:lastModifiedBy>
  <cp:revision>6</cp:revision>
  <cp:lastPrinted>2024-10-21T07:08:00Z</cp:lastPrinted>
  <dcterms:created xsi:type="dcterms:W3CDTF">2025-10-24T09:31:00Z</dcterms:created>
  <dcterms:modified xsi:type="dcterms:W3CDTF">2026-10-19T05:53:00Z</dcterms:modified>
</cp:coreProperties>
</file>