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DFB5" w14:textId="77777777" w:rsidR="00305E8E" w:rsidRDefault="00305E8E" w:rsidP="00A97988">
      <w:pPr>
        <w:pStyle w:val="Titre1"/>
        <w:spacing w:before="0" w:after="0" w:line="240" w:lineRule="auto"/>
        <w:jc w:val="both"/>
        <w:rPr>
          <w:rFonts w:eastAsia="Times New Roman"/>
          <w:lang w:eastAsia="fr-FR"/>
        </w:rPr>
      </w:pPr>
      <w:r w:rsidRPr="00305E8E">
        <w:rPr>
          <w:rFonts w:eastAsia="Times New Roman"/>
          <w:lang w:eastAsia="fr-FR"/>
        </w:rPr>
        <w:t>L'informatique comme outil stratégique pour les PME</w:t>
      </w:r>
    </w:p>
    <w:p w14:paraId="6ADC10D2" w14:textId="6302E555" w:rsidR="00305E8E" w:rsidRPr="00305E8E" w:rsidRDefault="00305E8E" w:rsidP="00A97988">
      <w:pPr>
        <w:spacing w:after="0" w:line="240" w:lineRule="auto"/>
        <w:jc w:val="both"/>
        <w:rPr>
          <w:lang w:eastAsia="fr-FR"/>
        </w:rPr>
      </w:pPr>
      <w:r>
        <w:t>Repères documentaires</w:t>
      </w:r>
      <w:r w:rsidR="00A97988">
        <w:t> :</w:t>
      </w:r>
      <w:r>
        <w:t xml:space="preserve"> supplément au Monde Informatique, n° 1029, 4 juin 2004 (témoignage historique, non description des pratiques actuelles)</w:t>
      </w:r>
      <w:r w:rsidR="00A97988">
        <w:t> ;</w:t>
      </w:r>
      <w:r>
        <w:t xml:space="preserve"> DGE / France Num, Baromètre 2026 (enquête auprès de 9 655 TPE-PME).</w:t>
      </w:r>
    </w:p>
    <w:p w14:paraId="177E41FA" w14:textId="77777777" w:rsidR="00305E8E" w:rsidRPr="00305E8E" w:rsidRDefault="00305E8E" w:rsidP="00A97988">
      <w:pPr>
        <w:pStyle w:val="Titre2"/>
        <w:spacing w:before="0" w:after="0" w:line="240" w:lineRule="auto"/>
        <w:jc w:val="both"/>
        <w:rPr>
          <w:rFonts w:eastAsia="Times New Roman"/>
          <w:lang w:eastAsia="fr-FR"/>
        </w:rPr>
      </w:pPr>
      <w:r w:rsidRPr="00305E8E">
        <w:rPr>
          <w:rFonts w:eastAsia="Times New Roman"/>
          <w:lang w:eastAsia="fr-FR"/>
        </w:rPr>
        <w:t>Introduction</w:t>
      </w:r>
    </w:p>
    <w:p w14:paraId="61B5C6B2" w14:textId="2989A26F"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Dans une PME, le système d’information (SI) constitue un ensemble de moyens humains, organisationnels, informationnels et techniques au service des processus et des décisions. Son intérêt stratégique dépend d’objectifs métiers explicites</w:t>
      </w:r>
      <w:r w:rsidR="00A97988">
        <w:t> :</w:t>
      </w:r>
      <w:r>
        <w:t xml:space="preserve"> qualité de service, productivité, expérience client, continuité de l’activité, conformité et capacité d’adaptation. Le numérique ne produit pas mécaniquement ces bénéfices</w:t>
      </w:r>
      <w:r w:rsidR="00A97988">
        <w:t> :</w:t>
      </w:r>
      <w:r>
        <w:t xml:space="preserve"> ses usages, ses coûts et ses risques doivent être pilotés.</w:t>
      </w:r>
    </w:p>
    <w:p w14:paraId="7D31D46B" w14:textId="77777777" w:rsidR="00305E8E" w:rsidRPr="00305E8E" w:rsidRDefault="00305E8E" w:rsidP="00A97988">
      <w:pPr>
        <w:pStyle w:val="Titre1"/>
        <w:rPr>
          <w:rFonts w:eastAsia="Times New Roman"/>
          <w:lang w:eastAsia="fr-FR"/>
        </w:rPr>
      </w:pPr>
      <w:r w:rsidRPr="00305E8E">
        <w:rPr>
          <w:rFonts w:eastAsia="Times New Roman"/>
          <w:lang w:eastAsia="fr-FR"/>
        </w:rPr>
        <w:t>1. L'informatique comme moteur de compétitivité</w:t>
      </w:r>
    </w:p>
    <w:p w14:paraId="7BAEFE76" w14:textId="738FA528"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Une entreprise n’a pas besoin de disposer d’un service informatique interne pour exploiter un SI</w:t>
      </w:r>
      <w:r w:rsidR="00A97988">
        <w:t> :</w:t>
      </w:r>
      <w:r>
        <w:t xml:space="preserve"> la fonction numérique peut être assurée par le dirigeant, un salarié polyvalent et/ou des prestataires. Il serait donc trompeur de présenter comme une donnée actuelle le chiffre ancien de </w:t>
      </w:r>
      <w:r w:rsidR="00A97988">
        <w:t>« </w:t>
      </w:r>
      <w:r>
        <w:t>90</w:t>
      </w:r>
      <w:r w:rsidR="00A97988">
        <w:t> %</w:t>
      </w:r>
      <w:r>
        <w:t xml:space="preserve"> de PME dotées d’un service informatique</w:t>
      </w:r>
      <w:r w:rsidR="00A97988">
        <w:t> »</w:t>
      </w:r>
      <w:r>
        <w:t>. Selon le Baromètre France Num 2026, 71</w:t>
      </w:r>
      <w:r w:rsidR="00A97988">
        <w:t> %</w:t>
      </w:r>
      <w:r>
        <w:t xml:space="preserve"> des dirigeants de TPE-PME considèrent que le numérique apporte un bénéfice réel à leur entreprise, mais la proportion est de 83</w:t>
      </w:r>
      <w:r w:rsidR="00A97988">
        <w:t> %</w:t>
      </w:r>
      <w:r>
        <w:t xml:space="preserve"> chez les seules PME. Par ailleurs, 76</w:t>
      </w:r>
      <w:r w:rsidR="00A97988">
        <w:t> %</w:t>
      </w:r>
      <w:r>
        <w:t xml:space="preserve"> des TPE-PME exploitent leurs données pour piloter leur activité. ERP/PGI, CRM, tableurs, outils de gestion et commerce en ligne doivent être choisis selon le besoin de l’organisation et leur coût total.</w:t>
      </w:r>
    </w:p>
    <w:p w14:paraId="4F772F30" w14:textId="77777777" w:rsidR="00305E8E" w:rsidRPr="00305E8E" w:rsidRDefault="00305E8E" w:rsidP="00A97988">
      <w:pPr>
        <w:pStyle w:val="Titre1"/>
        <w:rPr>
          <w:rFonts w:eastAsia="Times New Roman"/>
          <w:lang w:eastAsia="fr-FR"/>
        </w:rPr>
      </w:pPr>
      <w:r w:rsidRPr="00305E8E">
        <w:rPr>
          <w:rFonts w:eastAsia="Times New Roman"/>
          <w:lang w:eastAsia="fr-FR"/>
        </w:rPr>
        <w:t>2. La gouvernance informatique dans les PME</w:t>
      </w:r>
    </w:p>
    <w:p w14:paraId="2A5A1D4E" w14:textId="31B979AF"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Dans une petite entreprise, la gouvernance du SI ne suppose pas nécessairement un directeur informatique. Le dirigeant porte les arbitrages et la responsabilité stratégique</w:t>
      </w:r>
      <w:r w:rsidR="00A97988">
        <w:t> ;</w:t>
      </w:r>
      <w:r>
        <w:t xml:space="preserve"> un responsable interne ou un prestataire apporte l’expertise technique</w:t>
      </w:r>
      <w:r w:rsidR="00A97988">
        <w:t> ;</w:t>
      </w:r>
      <w:r>
        <w:t xml:space="preserve"> les utilisateurs formulent les besoins et valident l’adéquation des solutions. Le pilotage repose sur une feuille de route</w:t>
      </w:r>
      <w:r w:rsidR="00A97988">
        <w:t> :</w:t>
      </w:r>
      <w:r>
        <w:t xml:space="preserve"> objectifs, responsable, budget complet, calendrier, risques, indicateurs et critères d’acceptation. Un comité de pilotage proportionné à la taille de l’entreprise peut suivre les projets importants. La séparation entre décision métier (maîtrise d’ouvrage) et réalisation technique (maîtrise d’œuvre) clarifie les responsabilités.</w:t>
      </w:r>
    </w:p>
    <w:p w14:paraId="7F565D0A" w14:textId="77777777" w:rsidR="00305E8E" w:rsidRPr="00305E8E" w:rsidRDefault="00305E8E" w:rsidP="00A97988">
      <w:pPr>
        <w:pStyle w:val="Titre1"/>
        <w:rPr>
          <w:rFonts w:eastAsia="Times New Roman"/>
          <w:lang w:eastAsia="fr-FR"/>
        </w:rPr>
      </w:pPr>
      <w:r w:rsidRPr="00305E8E">
        <w:rPr>
          <w:rFonts w:eastAsia="Times New Roman"/>
          <w:lang w:eastAsia="fr-FR"/>
        </w:rPr>
        <w:t>3. Les logiciels libres comme alternatives économiques</w:t>
      </w:r>
    </w:p>
    <w:p w14:paraId="2F3C385A" w14:textId="0623D007"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Les logiciels libres constituent une possibilité parmi d’autres, et non une garantie d’économie. Leur licence donne notamment accès au code source et à des libertés d’usage et de modification dans les conditions prévues</w:t>
      </w:r>
      <w:r w:rsidR="00A97988">
        <w:t> ;</w:t>
      </w:r>
      <w:r>
        <w:t xml:space="preserve"> elle n’implique ni gratuité de la maintenance ni absence de coûts. Une PME doit comparer le coût total de possession</w:t>
      </w:r>
      <w:r w:rsidR="00A97988">
        <w:t> :</w:t>
      </w:r>
      <w:r>
        <w:t xml:space="preserve"> déploiement, hébergement, assistance, formation, intégration, sauvegarde, mises à jour, réversibilité et continuité du support. Le choix entre solutions libres, propriétaires et SaaS dépend des besoins fonctionnels, de l’interopérabilité, de la sécurité et des compétences disponibles.</w:t>
      </w:r>
    </w:p>
    <w:p w14:paraId="2F199AD3" w14:textId="6B99A8BA" w:rsidR="00305E8E" w:rsidRPr="00305E8E" w:rsidRDefault="00305E8E" w:rsidP="00A97988">
      <w:pPr>
        <w:pStyle w:val="Titre1"/>
        <w:rPr>
          <w:rFonts w:eastAsia="Times New Roman"/>
          <w:lang w:eastAsia="fr-FR"/>
        </w:rPr>
      </w:pPr>
      <w:r w:rsidRPr="00305E8E">
        <w:rPr>
          <w:rFonts w:eastAsia="Times New Roman"/>
          <w:lang w:eastAsia="fr-FR"/>
        </w:rPr>
        <w:t>4. Infrastructure et cybersécurité</w:t>
      </w:r>
      <w:r w:rsidR="00A97988">
        <w:rPr>
          <w:rFonts w:eastAsia="Times New Roman"/>
          <w:lang w:eastAsia="fr-FR"/>
        </w:rPr>
        <w:t> :</w:t>
      </w:r>
      <w:r w:rsidRPr="00305E8E">
        <w:rPr>
          <w:rFonts w:eastAsia="Times New Roman"/>
          <w:lang w:eastAsia="fr-FR"/>
        </w:rPr>
        <w:t xml:space="preserve"> des priorités stratégiques</w:t>
      </w:r>
    </w:p>
    <w:p w14:paraId="04555511" w14:textId="22C7DA3A"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Le SI doit être conçu pour fonctionner en situation normale et dégradée. La connectivité (souvent fibre ou services mobiles), l’hébergement local ou cloud, les mises à jour et la gestion des identités répondent à des besoins distincts</w:t>
      </w:r>
      <w:r w:rsidR="00A97988">
        <w:t> :</w:t>
      </w:r>
      <w:r>
        <w:t xml:space="preserve"> un pare-feu ou un VPN ne suffit pas à </w:t>
      </w:r>
      <w:r w:rsidR="00A97988">
        <w:t>« </w:t>
      </w:r>
      <w:r>
        <w:t>assurer</w:t>
      </w:r>
      <w:r w:rsidR="00A97988">
        <w:t> »</w:t>
      </w:r>
      <w:r>
        <w:t xml:space="preserve"> la sécurité. Selon France Num 2026, 39</w:t>
      </w:r>
      <w:r w:rsidR="00A97988">
        <w:t> %</w:t>
      </w:r>
      <w:r>
        <w:t xml:space="preserve"> des TPE-PME déclarent au moins un incident de cybersécurité dans les douze derniers mois. Une démarche priorisée comprend notamment</w:t>
      </w:r>
      <w:r w:rsidR="00A97988">
        <w:t> :</w:t>
      </w:r>
    </w:p>
    <w:p w14:paraId="58AD1A6E" w14:textId="6F6F0A53" w:rsidR="00305E8E" w:rsidRPr="00305E8E" w:rsidRDefault="00305E8E">
      <w:pPr>
        <w:numPr>
          <w:ilvl w:val="0"/>
          <w:numId w:val="1"/>
        </w:numPr>
        <w:spacing w:after="0" w:line="240" w:lineRule="auto"/>
        <w:jc w:val="both"/>
        <w:rPr>
          <w:rFonts w:ascii="Times New Roman" w:eastAsia="Times New Roman" w:hAnsi="Times New Roman" w:cs="Times New Roman"/>
          <w:kern w:val="0"/>
          <w:sz w:val="24"/>
          <w:szCs w:val="24"/>
          <w:lang w:eastAsia="fr-FR"/>
          <w14:ligatures w14:val="none"/>
        </w:rPr>
      </w:pPr>
      <w:r>
        <w:t>Des sauvegardes régulières, isolées selon le risque et surtout testées par une restauration</w:t>
      </w:r>
      <w:r w:rsidR="00A97988">
        <w:t> ;</w:t>
      </w:r>
      <w:r>
        <w:t xml:space="preserve"> la disponibilité d’un stockage cloud ne dispense pas d’une politique de sauvegarde.</w:t>
      </w:r>
    </w:p>
    <w:p w14:paraId="03DBE314" w14:textId="77777777" w:rsidR="00305E8E" w:rsidRPr="00305E8E" w:rsidRDefault="00305E8E">
      <w:pPr>
        <w:numPr>
          <w:ilvl w:val="0"/>
          <w:numId w:val="1"/>
        </w:numPr>
        <w:spacing w:after="0" w:line="240" w:lineRule="auto"/>
        <w:jc w:val="both"/>
        <w:rPr>
          <w:rFonts w:ascii="Times New Roman" w:eastAsia="Times New Roman" w:hAnsi="Times New Roman" w:cs="Times New Roman"/>
          <w:kern w:val="0"/>
          <w:sz w:val="24"/>
          <w:szCs w:val="24"/>
          <w:lang w:eastAsia="fr-FR"/>
          <w14:ligatures w14:val="none"/>
        </w:rPr>
      </w:pPr>
      <w:r>
        <w:t>La limitation des droits d’accès, l’authentification multifacteur lorsque pertinente, l’installation des correctifs et la supervision des systèmes.</w:t>
      </w:r>
    </w:p>
    <w:p w14:paraId="25A32612" w14:textId="77777777" w:rsidR="00305E8E" w:rsidRPr="00305E8E" w:rsidRDefault="00305E8E">
      <w:pPr>
        <w:numPr>
          <w:ilvl w:val="0"/>
          <w:numId w:val="1"/>
        </w:numPr>
        <w:spacing w:after="0" w:line="240" w:lineRule="auto"/>
        <w:jc w:val="both"/>
        <w:rPr>
          <w:rFonts w:ascii="Times New Roman" w:eastAsia="Times New Roman" w:hAnsi="Times New Roman" w:cs="Times New Roman"/>
          <w:kern w:val="0"/>
          <w:sz w:val="24"/>
          <w:szCs w:val="24"/>
          <w:lang w:eastAsia="fr-FR"/>
          <w14:ligatures w14:val="none"/>
        </w:rPr>
      </w:pPr>
      <w:r>
        <w:t>La sensibilisation des personnels aux messages frauduleux, l’inventaire des équipements et un plan de réaction aux incidents et de continuité/reprise d’activité.</w:t>
      </w:r>
    </w:p>
    <w:p w14:paraId="7EF85607" w14:textId="77777777"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lastRenderedPageBreak/>
        <w:t>Ces mesures diminuent les risques mais ne suppriment ni les incidents ni leurs conséquences. Les priorités doivent être proportionnées aux données, aux usages et à la criticité des processus.</w:t>
      </w:r>
    </w:p>
    <w:p w14:paraId="38F82260" w14:textId="77777777" w:rsidR="00305E8E" w:rsidRPr="00305E8E" w:rsidRDefault="00305E8E" w:rsidP="00A97988">
      <w:pPr>
        <w:pStyle w:val="Titre1"/>
        <w:rPr>
          <w:rFonts w:eastAsia="Times New Roman"/>
          <w:lang w:eastAsia="fr-FR"/>
        </w:rPr>
      </w:pPr>
      <w:r w:rsidRPr="00305E8E">
        <w:rPr>
          <w:rFonts w:eastAsia="Times New Roman"/>
          <w:lang w:eastAsia="fr-FR"/>
        </w:rPr>
        <w:t>5. Le rôle clé de l’humain</w:t>
      </w:r>
    </w:p>
    <w:p w14:paraId="224B9BBD" w14:textId="072095C4"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La transformation numérique est autant un projet organisationnel qu’un projet technique. Cartographier les tâches, associer les utilisateurs à la définition du besoin, former, prévoir le support et recueillir les retours d’usage contribuent à l’appropriation. Les compétences numériques peuvent être internes, externes ou partagées</w:t>
      </w:r>
      <w:r w:rsidR="00A97988">
        <w:t> :</w:t>
      </w:r>
      <w:r>
        <w:t xml:space="preserve"> l’enjeu est d’identifier clairement qui décide, qui utilise, qui administre et qui contrôle.</w:t>
      </w:r>
    </w:p>
    <w:p w14:paraId="7369B43B" w14:textId="0B101C1C" w:rsidR="00305E8E" w:rsidRPr="00305E8E" w:rsidRDefault="00305E8E" w:rsidP="00A97988">
      <w:pPr>
        <w:pStyle w:val="Titre1"/>
        <w:rPr>
          <w:rFonts w:eastAsia="Times New Roman"/>
          <w:lang w:eastAsia="fr-FR"/>
        </w:rPr>
      </w:pPr>
      <w:r w:rsidRPr="00305E8E">
        <w:rPr>
          <w:rFonts w:eastAsia="Times New Roman"/>
          <w:lang w:eastAsia="fr-FR"/>
        </w:rPr>
        <w:t>6. Externalisation</w:t>
      </w:r>
      <w:r w:rsidR="00A97988">
        <w:rPr>
          <w:rFonts w:eastAsia="Times New Roman"/>
          <w:lang w:eastAsia="fr-FR"/>
        </w:rPr>
        <w:t> :</w:t>
      </w:r>
      <w:r w:rsidRPr="00305E8E">
        <w:rPr>
          <w:rFonts w:eastAsia="Times New Roman"/>
          <w:lang w:eastAsia="fr-FR"/>
        </w:rPr>
        <w:t xml:space="preserve"> un levier de flexibilité</w:t>
      </w:r>
    </w:p>
    <w:p w14:paraId="393422C3" w14:textId="69EC66BC"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L’externalisation peut apporter compétences, continuité de service et élasticité des ressources, à condition d’organiser explicitement le pilotage du prestataire. Les principaux services concernés sont</w:t>
      </w:r>
      <w:r w:rsidR="00A97988">
        <w:t> :</w:t>
      </w:r>
    </w:p>
    <w:p w14:paraId="202658E6" w14:textId="27E2464F" w:rsidR="00305E8E" w:rsidRPr="00305E8E" w:rsidRDefault="00305E8E">
      <w:pPr>
        <w:numPr>
          <w:ilvl w:val="0"/>
          <w:numId w:val="2"/>
        </w:numPr>
        <w:spacing w:after="0" w:line="240" w:lineRule="auto"/>
        <w:jc w:val="both"/>
        <w:rPr>
          <w:rFonts w:ascii="Times New Roman" w:eastAsia="Times New Roman" w:hAnsi="Times New Roman" w:cs="Times New Roman"/>
          <w:kern w:val="0"/>
          <w:sz w:val="24"/>
          <w:szCs w:val="24"/>
          <w:lang w:eastAsia="fr-FR"/>
          <w14:ligatures w14:val="none"/>
        </w:rPr>
      </w:pPr>
      <w:r>
        <w:t>L’exploitation et la maintenance des postes, réseaux et applications</w:t>
      </w:r>
      <w:r w:rsidR="00A97988">
        <w:t> ;</w:t>
      </w:r>
      <w:r>
        <w:t xml:space="preserve"> les engagements de niveau de service (SLA) et les délais de résolution doivent être adaptés aux besoins métiers.</w:t>
      </w:r>
    </w:p>
    <w:p w14:paraId="7A2D4306" w14:textId="77777777" w:rsidR="00305E8E" w:rsidRPr="00305E8E" w:rsidRDefault="00305E8E">
      <w:pPr>
        <w:numPr>
          <w:ilvl w:val="0"/>
          <w:numId w:val="2"/>
        </w:numPr>
        <w:spacing w:after="0" w:line="240" w:lineRule="auto"/>
        <w:jc w:val="both"/>
        <w:rPr>
          <w:rFonts w:ascii="Times New Roman" w:eastAsia="Times New Roman" w:hAnsi="Times New Roman" w:cs="Times New Roman"/>
          <w:kern w:val="0"/>
          <w:sz w:val="24"/>
          <w:szCs w:val="24"/>
          <w:lang w:eastAsia="fr-FR"/>
          <w14:ligatures w14:val="none"/>
        </w:rPr>
      </w:pPr>
      <w:r>
        <w:t>L’hébergement, les sauvegardes, la cybersécurité et la gestion des identités, avec tests de restauration, responsabilités de sécurité définies et modalités de réversibilité.</w:t>
      </w:r>
    </w:p>
    <w:p w14:paraId="3571245B" w14:textId="77777777" w:rsidR="00305E8E" w:rsidRPr="00305E8E" w:rsidRDefault="00305E8E">
      <w:pPr>
        <w:numPr>
          <w:ilvl w:val="0"/>
          <w:numId w:val="2"/>
        </w:numPr>
        <w:spacing w:after="0" w:line="240" w:lineRule="auto"/>
        <w:jc w:val="both"/>
        <w:rPr>
          <w:rFonts w:ascii="Times New Roman" w:eastAsia="Times New Roman" w:hAnsi="Times New Roman" w:cs="Times New Roman"/>
          <w:kern w:val="0"/>
          <w:sz w:val="24"/>
          <w:szCs w:val="24"/>
          <w:lang w:eastAsia="fr-FR"/>
          <w14:ligatures w14:val="none"/>
        </w:rPr>
      </w:pPr>
      <w:r>
        <w:t>L’intégration et l’évolution des logiciels, avec exigences d’interopérabilité, de documentation, de propriété et de portabilité des données.</w:t>
      </w:r>
    </w:p>
    <w:p w14:paraId="508C958B" w14:textId="77777777"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Externaliser l’exécution d’une prestation ne revient pas à transférer automatiquement la responsabilité juridique. Lorsque des données personnelles sont traitées pour le compte de l’entreprise, un contrat conforme à l’article 28 du RGPD, des garanties de sécurité, une gestion des incidents, la possibilité d’audit et les conditions de sortie sont à prévoir. La CNIL recommande notamment de vérifier effectivement les garanties annoncées par les prestataires.</w:t>
      </w:r>
    </w:p>
    <w:p w14:paraId="29D3C4AF" w14:textId="77777777" w:rsidR="00305E8E" w:rsidRPr="00305E8E" w:rsidRDefault="00305E8E" w:rsidP="00A97988">
      <w:pPr>
        <w:pStyle w:val="Titre1"/>
        <w:rPr>
          <w:rFonts w:eastAsia="Times New Roman"/>
          <w:lang w:eastAsia="fr-FR"/>
        </w:rPr>
      </w:pPr>
      <w:r w:rsidRPr="00305E8E">
        <w:rPr>
          <w:rFonts w:eastAsia="Times New Roman"/>
          <w:lang w:eastAsia="fr-FR"/>
        </w:rPr>
        <w:t>7. Retour sur investissement et perspective stratégique</w:t>
      </w:r>
    </w:p>
    <w:p w14:paraId="3C2D2CAA" w14:textId="5E4577AD" w:rsidR="00305E8E" w:rsidRPr="00305E8E" w:rsidRDefault="00305E8E" w:rsidP="00A97988">
      <w:pPr>
        <w:spacing w:after="0" w:line="240" w:lineRule="auto"/>
        <w:jc w:val="both"/>
        <w:rPr>
          <w:rFonts w:ascii="Times New Roman" w:eastAsia="Times New Roman" w:hAnsi="Times New Roman" w:cs="Times New Roman"/>
          <w:kern w:val="0"/>
          <w:sz w:val="24"/>
          <w:szCs w:val="24"/>
          <w:lang w:eastAsia="fr-FR"/>
          <w14:ligatures w14:val="none"/>
        </w:rPr>
      </w:pPr>
      <w:r>
        <w:t>Le retour sur investissement (ROI) ne doit pas se limiter à une économie attendue. Il confronte des coûts complets (acquisition, abonnement, intégration, formation, exploitation, incidents, sortie) aux effets mesurés</w:t>
      </w:r>
      <w:r w:rsidR="00A97988">
        <w:t> :</w:t>
      </w:r>
      <w:r>
        <w:t xml:space="preserve"> temps de traitement, erreurs, délais, satisfaction des utilisateurs, qualité des données et continuité d’activité. Le suivi comporte une situation de départ, une cible datée et des indicateurs. La décision d’investir suppose aussi d’examiner les contraintes de cybersécurité, de conformité, de souveraineté et de dépendance fournisseur.</w:t>
      </w:r>
    </w:p>
    <w:p w14:paraId="2C174D5A" w14:textId="50D5854C" w:rsidR="009E2E5B" w:rsidRDefault="00000000" w:rsidP="00A97988">
      <w:pPr>
        <w:spacing w:after="0" w:line="240" w:lineRule="auto"/>
        <w:jc w:val="both"/>
      </w:pPr>
      <w:r>
        <w:t>Pour approfondir</w:t>
      </w:r>
      <w:r w:rsidR="00A97988">
        <w:t> :</w:t>
      </w:r>
      <w:r>
        <w:t xml:space="preserve"> https://www.francenum.gouv.fr/guides-et-conseils/strategie-numerique/comprendre-le-numerique/barometre-france-num-2026-le</w:t>
      </w:r>
      <w:r w:rsidR="00A97988">
        <w:t> ;</w:t>
      </w:r>
      <w:r>
        <w:t xml:space="preserve"> https://www.cnil.fr/fr/securite-gerer-la-sous-traitance</w:t>
      </w:r>
      <w:r w:rsidR="00A97988">
        <w:t> ;</w:t>
      </w:r>
      <w:r>
        <w:t xml:space="preserve"> https://www.nist.gov/publications/nist-cybersecurity-framework-csf-20</w:t>
      </w:r>
    </w:p>
    <w:p w14:paraId="68AEC5CD" w14:textId="1E7526C3" w:rsidR="00A97988" w:rsidRDefault="00000000" w:rsidP="00A97988">
      <w:pPr>
        <w:spacing w:after="0" w:line="240" w:lineRule="auto"/>
        <w:jc w:val="both"/>
      </w:pPr>
      <w:r>
        <w:t>Repère d’actualité</w:t>
      </w:r>
      <w:r w:rsidR="00A97988">
        <w:t> :</w:t>
      </w:r>
      <w:r>
        <w:t xml:space="preserve"> en 2026, 40</w:t>
      </w:r>
      <w:r w:rsidR="00A97988">
        <w:t> %</w:t>
      </w:r>
      <w:r>
        <w:t xml:space="preserve"> des TPE-PME interrogées déclarent utiliser au moins une solution d’IA</w:t>
      </w:r>
      <w:r w:rsidR="00A97988">
        <w:t> ;</w:t>
      </w:r>
      <w:r>
        <w:t xml:space="preserve"> ce taux mesure une déclaration d’usage et non une preuve de rentabilité ou de maîtrise des risques. Source</w:t>
      </w:r>
      <w:r w:rsidR="00A97988">
        <w:t> :</w:t>
      </w:r>
      <w:r>
        <w:t xml:space="preserve"> DGE / France Num, Baromètre 2026, publication du 17 septembre 2026, mise à jour du 12 octobre 2026.</w:t>
      </w:r>
    </w:p>
    <w:p w14:paraId="1DCC9849" w14:textId="7FBF4B0A" w:rsidR="00BB2B03" w:rsidRPr="00BB2B03" w:rsidRDefault="00BB2B03" w:rsidP="00A97988">
      <w:pPr>
        <w:spacing w:after="0" w:line="240" w:lineRule="auto"/>
        <w:jc w:val="both"/>
      </w:pPr>
    </w:p>
    <w:sectPr w:rsidR="00BB2B03" w:rsidRPr="00BB2B03" w:rsidSect="00A97988">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6A74" w14:textId="77777777" w:rsidR="00AD2EF4" w:rsidRDefault="00AD2EF4" w:rsidP="00580F46">
      <w:pPr>
        <w:spacing w:after="0" w:line="240" w:lineRule="auto"/>
      </w:pPr>
      <w:r>
        <w:separator/>
      </w:r>
    </w:p>
  </w:endnote>
  <w:endnote w:type="continuationSeparator" w:id="0">
    <w:p w14:paraId="0580B221" w14:textId="77777777" w:rsidR="00AD2EF4" w:rsidRDefault="00AD2EF4" w:rsidP="0058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A7E98" w14:textId="77777777" w:rsidR="00580F46" w:rsidRPr="00580F46" w:rsidRDefault="00580F46" w:rsidP="00580F46">
    <w:pPr>
      <w:pStyle w:val="Pieddepage"/>
      <w:tabs>
        <w:tab w:val="clear" w:pos="9072"/>
        <w:tab w:val="right" w:pos="10348"/>
      </w:tabs>
      <w:rPr>
        <w:b/>
        <w:bCs/>
      </w:rPr>
    </w:pPr>
    <w:r w:rsidRPr="00580F46">
      <w:rPr>
        <w:noProof/>
        <w:color w:val="156082" w:themeColor="accent1"/>
        <w:sz w:val="20"/>
        <w:szCs w:val="20"/>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sz w:val="20"/>
        <w:szCs w:val="20"/>
      </w:rPr>
      <w:t xml:space="preserve"> </w:t>
    </w:r>
    <w:r>
      <w:rPr>
        <w:color w:val="156082" w:themeColor="accent1"/>
        <w:sz w:val="20"/>
        <w:szCs w:val="20"/>
      </w:rPr>
      <w:tab/>
    </w:r>
    <w:r>
      <w:rPr>
        <w:color w:val="156082" w:themeColor="accent1"/>
        <w:sz w:val="20"/>
        <w:szCs w:val="20"/>
      </w:rPr>
      <w:tab/>
    </w:r>
    <w:r w:rsidRPr="00580F46">
      <w:rPr>
        <w:b/>
        <w:bCs/>
        <w:sz w:val="20"/>
        <w:szCs w:val="20"/>
      </w:rPr>
      <w:t xml:space="preserve">p. </w:t>
    </w:r>
    <w:r w:rsidRPr="00580F46">
      <w:rPr>
        <w:b/>
        <w:bCs/>
        <w:sz w:val="20"/>
        <w:szCs w:val="20"/>
      </w:rPr>
      <w:fldChar w:fldCharType="begin"/>
    </w:r>
    <w:r w:rsidRPr="00580F46">
      <w:rPr>
        <w:b/>
        <w:bCs/>
        <w:sz w:val="20"/>
        <w:szCs w:val="20"/>
      </w:rPr>
      <w:instrText>PAGE  \* Arabic</w:instrText>
    </w:r>
    <w:r w:rsidRPr="00580F46">
      <w:rPr>
        <w:b/>
        <w:bCs/>
        <w:sz w:val="20"/>
        <w:szCs w:val="20"/>
      </w:rPr>
      <w:fldChar w:fldCharType="separate"/>
    </w:r>
    <w:r w:rsidRPr="00580F46">
      <w:rPr>
        <w:b/>
        <w:bCs/>
        <w:sz w:val="20"/>
        <w:szCs w:val="20"/>
      </w:rPr>
      <w:t>1</w:t>
    </w:r>
    <w:r w:rsidRPr="00580F46">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00A0" w14:textId="77777777" w:rsidR="00AD2EF4" w:rsidRDefault="00AD2EF4" w:rsidP="00580F46">
      <w:pPr>
        <w:spacing w:after="0" w:line="240" w:lineRule="auto"/>
      </w:pPr>
      <w:r>
        <w:separator/>
      </w:r>
    </w:p>
  </w:footnote>
  <w:footnote w:type="continuationSeparator" w:id="0">
    <w:p w14:paraId="21111D2A" w14:textId="77777777" w:rsidR="00AD2EF4" w:rsidRDefault="00AD2EF4" w:rsidP="00580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63893"/>
    <w:multiLevelType w:val="multilevel"/>
    <w:tmpl w:val="3B1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2479C"/>
    <w:multiLevelType w:val="multilevel"/>
    <w:tmpl w:val="0488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07061">
    <w:abstractNumId w:val="0"/>
  </w:num>
  <w:num w:numId="2" w16cid:durableId="123169640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212DD"/>
    <w:rsid w:val="000326D2"/>
    <w:rsid w:val="0013594E"/>
    <w:rsid w:val="00135CDD"/>
    <w:rsid w:val="001666DB"/>
    <w:rsid w:val="001F5435"/>
    <w:rsid w:val="001F64D4"/>
    <w:rsid w:val="002F2663"/>
    <w:rsid w:val="00305E8E"/>
    <w:rsid w:val="00375473"/>
    <w:rsid w:val="003D4892"/>
    <w:rsid w:val="003E639A"/>
    <w:rsid w:val="004A6242"/>
    <w:rsid w:val="004D247E"/>
    <w:rsid w:val="004E074F"/>
    <w:rsid w:val="0050112B"/>
    <w:rsid w:val="00580F46"/>
    <w:rsid w:val="005962A0"/>
    <w:rsid w:val="006460AB"/>
    <w:rsid w:val="006C0415"/>
    <w:rsid w:val="006C6336"/>
    <w:rsid w:val="00713AC4"/>
    <w:rsid w:val="007E1FF6"/>
    <w:rsid w:val="00821279"/>
    <w:rsid w:val="008476EE"/>
    <w:rsid w:val="00867FF2"/>
    <w:rsid w:val="009115B1"/>
    <w:rsid w:val="00911C39"/>
    <w:rsid w:val="00991621"/>
    <w:rsid w:val="009B0B53"/>
    <w:rsid w:val="009E2E5B"/>
    <w:rsid w:val="00A662DC"/>
    <w:rsid w:val="00A97988"/>
    <w:rsid w:val="00AA6814"/>
    <w:rsid w:val="00AD2EF4"/>
    <w:rsid w:val="00AF37F6"/>
    <w:rsid w:val="00B649B3"/>
    <w:rsid w:val="00BA73A4"/>
    <w:rsid w:val="00BB2B03"/>
    <w:rsid w:val="00CA4633"/>
    <w:rsid w:val="00CC4DE7"/>
    <w:rsid w:val="00D503E9"/>
    <w:rsid w:val="00DA6E3D"/>
    <w:rsid w:val="00DD2902"/>
    <w:rsid w:val="00DE760B"/>
    <w:rsid w:val="00F4784B"/>
    <w:rsid w:val="00F47F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D2F24"/>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semiHidden/>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1084</Words>
  <Characters>5965</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2024-11-16T11:09:00Z</dcterms:created>
  <dcterms:modified xsi:type="dcterms:W3CDTF">2026-10-19T05:51:00Z</dcterms:modified>
</cp:coreProperties>
</file>