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05D78" w14:textId="77777777" w:rsidR="00931ED3" w:rsidRPr="00931ED3" w:rsidRDefault="00931ED3" w:rsidP="00463FF8">
      <w:pPr>
        <w:pStyle w:val="Titre1"/>
        <w:spacing w:before="0" w:after="0" w:line="240" w:lineRule="auto"/>
        <w:jc w:val="both"/>
        <w:rPr>
          <w:lang w:eastAsia="fr-FR"/>
        </w:rPr>
      </w:pPr>
      <w:r w:rsidRPr="00931ED3">
        <w:rPr>
          <w:lang w:eastAsia="fr-FR"/>
        </w:rPr>
        <w:t>Le rôle des systèmes d'information dans le pilotage des entreprises étendues</w:t>
      </w:r>
    </w:p>
    <w:p w14:paraId="74FEADF1" w14:textId="26611EB4" w:rsidR="00931ED3" w:rsidRPr="00931ED3" w:rsidRDefault="00931ED3" w:rsidP="00463FF8">
      <w:pPr>
        <w:spacing w:after="0" w:line="240" w:lineRule="auto"/>
        <w:jc w:val="both"/>
        <w:rPr>
          <w:lang w:eastAsia="fr-FR"/>
        </w:rPr>
      </w:pPr>
      <w:r>
        <w:t>Source principale</w:t>
      </w:r>
      <w:r w:rsidR="00463FF8">
        <w:t> :</w:t>
      </w:r>
      <w:r>
        <w:t xml:space="preserve"> Sébastien </w:t>
      </w:r>
      <w:proofErr w:type="spellStart"/>
      <w:r>
        <w:t>Tran</w:t>
      </w:r>
      <w:proofErr w:type="spellEnd"/>
      <w:r>
        <w:t xml:space="preserve">, </w:t>
      </w:r>
      <w:r w:rsidR="00463FF8">
        <w:t>« </w:t>
      </w:r>
      <w:r>
        <w:t>Le pilotage des entreprises étendues</w:t>
      </w:r>
      <w:r w:rsidR="00463FF8">
        <w:t> :</w:t>
      </w:r>
      <w:r>
        <w:t xml:space="preserve"> le rôle du SI dans le dispositif de gestion</w:t>
      </w:r>
      <w:r w:rsidR="00463FF8">
        <w:t> »</w:t>
      </w:r>
      <w:r>
        <w:t>, Finance Contrôle Stratégie, vol. 15, nos 1-2, 2012, p. 43-63, DOI</w:t>
      </w:r>
      <w:r w:rsidR="00463FF8">
        <w:t> :</w:t>
      </w:r>
      <w:r>
        <w:t xml:space="preserve"> 10.4000/fcs.99. Le cas Valeo porte sur une étude historique</w:t>
      </w:r>
      <w:r w:rsidR="00463FF8">
        <w:t> ;</w:t>
      </w:r>
      <w:r>
        <w:t xml:space="preserve"> il ne décrit pas nécessairement l’organisation ou les applications actuelles de l’entreprise.</w:t>
      </w:r>
    </w:p>
    <w:p w14:paraId="37778478" w14:textId="77777777" w:rsidR="00931ED3" w:rsidRPr="00931ED3" w:rsidRDefault="00931ED3" w:rsidP="00463FF8">
      <w:pPr>
        <w:pStyle w:val="Titre2"/>
        <w:spacing w:before="0" w:after="0" w:line="240" w:lineRule="auto"/>
        <w:jc w:val="both"/>
        <w:rPr>
          <w:lang w:eastAsia="fr-FR"/>
        </w:rPr>
      </w:pPr>
      <w:r w:rsidRPr="00931ED3">
        <w:rPr>
          <w:lang w:eastAsia="fr-FR"/>
        </w:rPr>
        <w:t>Introduction</w:t>
      </w:r>
    </w:p>
    <w:p w14:paraId="7F21C59C" w14:textId="77777777" w:rsidR="00931ED3" w:rsidRPr="00931ED3" w:rsidRDefault="00931ED3" w:rsidP="00463FF8">
      <w:pPr>
        <w:spacing w:after="0" w:line="240" w:lineRule="auto"/>
        <w:jc w:val="both"/>
        <w:rPr>
          <w:lang w:eastAsia="fr-FR"/>
        </w:rPr>
      </w:pPr>
      <w:r>
        <w:t xml:space="preserve">L’entreprise étendue coordonne plusieurs unités, fournisseurs, sous-traitants et partenaires dont les activités sont interdépendantes. Sébastien </w:t>
      </w:r>
      <w:proofErr w:type="spellStart"/>
      <w:r>
        <w:t>Tran</w:t>
      </w:r>
      <w:proofErr w:type="spellEnd"/>
      <w:r>
        <w:t xml:space="preserve"> analyse, dans une recherche publiée en 2012, le rôle du SI dans le déploiement d’outils de pilotage auprès d’entités éloignées. Le cas Valeo éclaire la difficulté de transposer un dispositif de gestion commun à des structures et usages hétérogènes. Il s’agit d’un cas étudié, pas d’une présentation de l’état actuel du SI de Valeo.</w:t>
      </w:r>
    </w:p>
    <w:p w14:paraId="15DC8FAE" w14:textId="1514B6B8" w:rsidR="00931ED3" w:rsidRPr="00931ED3" w:rsidRDefault="00931ED3" w:rsidP="00463FF8">
      <w:pPr>
        <w:pStyle w:val="Titre1"/>
        <w:rPr>
          <w:lang w:eastAsia="fr-FR"/>
        </w:rPr>
      </w:pPr>
      <w:r w:rsidRPr="00931ED3">
        <w:rPr>
          <w:lang w:eastAsia="fr-FR"/>
        </w:rPr>
        <w:t>1. Les entreprises étendues</w:t>
      </w:r>
      <w:r w:rsidR="00463FF8">
        <w:rPr>
          <w:lang w:eastAsia="fr-FR"/>
        </w:rPr>
        <w:t> :</w:t>
      </w:r>
      <w:r w:rsidRPr="00931ED3">
        <w:rPr>
          <w:lang w:eastAsia="fr-FR"/>
        </w:rPr>
        <w:t xml:space="preserve"> un modèle organisationnel complexe</w:t>
      </w:r>
    </w:p>
    <w:p w14:paraId="4980C84C" w14:textId="1580124D" w:rsidR="00931ED3" w:rsidRPr="00931ED3" w:rsidRDefault="00931ED3" w:rsidP="00463FF8">
      <w:pPr>
        <w:spacing w:after="0" w:line="240" w:lineRule="auto"/>
        <w:jc w:val="both"/>
        <w:rPr>
          <w:lang w:eastAsia="fr-FR"/>
        </w:rPr>
      </w:pPr>
      <w:r w:rsidRPr="00931ED3">
        <w:rPr>
          <w:lang w:eastAsia="fr-FR"/>
        </w:rPr>
        <w:t>Les entreprises étendues se distinguent par leur collaboration étroite avec des partenaires externes, comme les fournisseurs, les sous-traitants ou les clients. Cette configuration leur permet d’augmenter leur flexibilité et de répondre plus rapidement aux changements du marché. Toutefois, cette approche pose plusieurs défis</w:t>
      </w:r>
      <w:r w:rsidR="00463FF8">
        <w:rPr>
          <w:lang w:eastAsia="fr-FR"/>
        </w:rPr>
        <w:t> :</w:t>
      </w:r>
    </w:p>
    <w:p w14:paraId="6C90ED63" w14:textId="69D22CF0" w:rsidR="00931ED3" w:rsidRPr="00931ED3" w:rsidRDefault="00931ED3" w:rsidP="00463FF8">
      <w:pPr>
        <w:numPr>
          <w:ilvl w:val="0"/>
          <w:numId w:val="1"/>
        </w:numPr>
        <w:spacing w:after="0" w:line="240" w:lineRule="auto"/>
        <w:jc w:val="both"/>
        <w:rPr>
          <w:lang w:eastAsia="fr-FR"/>
        </w:rPr>
      </w:pPr>
      <w:r w:rsidRPr="00931ED3">
        <w:rPr>
          <w:b/>
          <w:bCs/>
          <w:lang w:eastAsia="fr-FR"/>
        </w:rPr>
        <w:t>Complexité organisationnelle</w:t>
      </w:r>
      <w:r w:rsidR="00463FF8">
        <w:rPr>
          <w:lang w:eastAsia="fr-FR"/>
        </w:rPr>
        <w:t> :</w:t>
      </w:r>
      <w:r w:rsidRPr="00931ED3">
        <w:rPr>
          <w:lang w:eastAsia="fr-FR"/>
        </w:rPr>
        <w:t xml:space="preserve"> La multiplication des parties prenantes rend la coordination et la communication plus difficiles.</w:t>
      </w:r>
    </w:p>
    <w:p w14:paraId="0EEFF0BE" w14:textId="51C8BAC3" w:rsidR="00931ED3" w:rsidRPr="00931ED3" w:rsidRDefault="00931ED3" w:rsidP="00463FF8">
      <w:pPr>
        <w:numPr>
          <w:ilvl w:val="0"/>
          <w:numId w:val="1"/>
        </w:numPr>
        <w:spacing w:after="0" w:line="240" w:lineRule="auto"/>
        <w:jc w:val="both"/>
        <w:rPr>
          <w:lang w:eastAsia="fr-FR"/>
        </w:rPr>
      </w:pPr>
      <w:r w:rsidRPr="00931ED3">
        <w:rPr>
          <w:b/>
          <w:bCs/>
          <w:lang w:eastAsia="fr-FR"/>
        </w:rPr>
        <w:t>Partage d’informations sensibles</w:t>
      </w:r>
      <w:r w:rsidR="00463FF8">
        <w:rPr>
          <w:lang w:eastAsia="fr-FR"/>
        </w:rPr>
        <w:t> :</w:t>
      </w:r>
      <w:r w:rsidRPr="00931ED3">
        <w:rPr>
          <w:lang w:eastAsia="fr-FR"/>
        </w:rPr>
        <w:t xml:space="preserve"> La collaboration exige un échange constant de données stratégiques, ce qui accroît les risques liés à la confidentialité et à la sécurité.</w:t>
      </w:r>
    </w:p>
    <w:p w14:paraId="25F37394" w14:textId="6812A158" w:rsidR="00931ED3" w:rsidRPr="00931ED3" w:rsidRDefault="00931ED3" w:rsidP="00463FF8">
      <w:pPr>
        <w:numPr>
          <w:ilvl w:val="0"/>
          <w:numId w:val="1"/>
        </w:numPr>
        <w:spacing w:after="0" w:line="240" w:lineRule="auto"/>
        <w:jc w:val="both"/>
        <w:rPr>
          <w:lang w:eastAsia="fr-FR"/>
        </w:rPr>
      </w:pPr>
      <w:r w:rsidRPr="00931ED3">
        <w:rPr>
          <w:b/>
          <w:bCs/>
          <w:lang w:eastAsia="fr-FR"/>
        </w:rPr>
        <w:t>Gestion des interdépendances</w:t>
      </w:r>
      <w:r w:rsidR="00463FF8">
        <w:rPr>
          <w:lang w:eastAsia="fr-FR"/>
        </w:rPr>
        <w:t> :</w:t>
      </w:r>
      <w:r w:rsidRPr="00931ED3">
        <w:rPr>
          <w:lang w:eastAsia="fr-FR"/>
        </w:rPr>
        <w:t xml:space="preserve"> Les actions d’un partenaire peuvent impacter directement les performances globales de l’entreprise étendue.</w:t>
      </w:r>
    </w:p>
    <w:p w14:paraId="07A5C458" w14:textId="69F867E6" w:rsidR="00931ED3" w:rsidRPr="00931ED3" w:rsidRDefault="00931ED3" w:rsidP="00463FF8">
      <w:pPr>
        <w:numPr>
          <w:ilvl w:val="0"/>
          <w:numId w:val="1"/>
        </w:numPr>
        <w:spacing w:after="0" w:line="240" w:lineRule="auto"/>
        <w:jc w:val="both"/>
        <w:rPr>
          <w:lang w:eastAsia="fr-FR"/>
        </w:rPr>
      </w:pPr>
      <w:r w:rsidRPr="00931ED3">
        <w:rPr>
          <w:b/>
          <w:bCs/>
          <w:lang w:eastAsia="fr-FR"/>
        </w:rPr>
        <w:t>Alignement stratégique</w:t>
      </w:r>
      <w:r w:rsidR="00463FF8">
        <w:rPr>
          <w:lang w:eastAsia="fr-FR"/>
        </w:rPr>
        <w:t> :</w:t>
      </w:r>
      <w:r w:rsidRPr="00931ED3">
        <w:rPr>
          <w:lang w:eastAsia="fr-FR"/>
        </w:rPr>
        <w:t xml:space="preserve"> Garantir que tous les acteurs poursuivent des objectifs communs est essentiel pour éviter les divergences.</w:t>
      </w:r>
    </w:p>
    <w:p w14:paraId="7D6A13B2" w14:textId="77777777" w:rsidR="00931ED3" w:rsidRPr="00931ED3" w:rsidRDefault="00931ED3" w:rsidP="00463FF8">
      <w:pPr>
        <w:spacing w:after="0" w:line="240" w:lineRule="auto"/>
        <w:jc w:val="both"/>
        <w:rPr>
          <w:lang w:eastAsia="fr-FR"/>
        </w:rPr>
      </w:pPr>
      <w:r w:rsidRPr="00931ED3">
        <w:rPr>
          <w:lang w:eastAsia="fr-FR"/>
        </w:rPr>
        <w:t>Face à ces défis, les entreprises étendues doivent s’appuyer sur des outils robustes et des processus structurés pour piloter efficacement leurs opérations.</w:t>
      </w:r>
    </w:p>
    <w:p w14:paraId="4FBD70D9" w14:textId="77777777" w:rsidR="00931ED3" w:rsidRPr="00931ED3" w:rsidRDefault="00931ED3" w:rsidP="00463FF8">
      <w:pPr>
        <w:pStyle w:val="Titre1"/>
        <w:rPr>
          <w:lang w:eastAsia="fr-FR"/>
        </w:rPr>
      </w:pPr>
      <w:r w:rsidRPr="00931ED3">
        <w:rPr>
          <w:lang w:eastAsia="fr-FR"/>
        </w:rPr>
        <w:t>2. Le rôle central des systèmes d'information</w:t>
      </w:r>
    </w:p>
    <w:p w14:paraId="319F16B1" w14:textId="77B8C30F" w:rsidR="00931ED3" w:rsidRPr="00931ED3" w:rsidRDefault="00931ED3" w:rsidP="00463FF8">
      <w:pPr>
        <w:spacing w:after="0" w:line="240" w:lineRule="auto"/>
        <w:jc w:val="both"/>
        <w:rPr>
          <w:lang w:eastAsia="fr-FR"/>
        </w:rPr>
      </w:pPr>
      <w:r>
        <w:t>Dans une entreprise étendue, les SI ne sont pas seulement des canaux de communication. Ils matérialisent des règles et des outils de gestion</w:t>
      </w:r>
      <w:r w:rsidR="00463FF8">
        <w:t> :</w:t>
      </w:r>
      <w:r>
        <w:t xml:space="preserve"> référentiels communs, procédures, droits d’accès, indicateurs, évaluations et traçabilité. Leur efficacité dépend des interfaces, de la qualité des données, de leur appropriation par les utilisateurs et des arbitrages de gouvernance.</w:t>
      </w:r>
    </w:p>
    <w:p w14:paraId="3F364052" w14:textId="77777777" w:rsidR="00931ED3" w:rsidRPr="00931ED3" w:rsidRDefault="00931ED3" w:rsidP="00463FF8">
      <w:pPr>
        <w:pStyle w:val="Titre3"/>
        <w:spacing w:before="0" w:after="0" w:line="240" w:lineRule="auto"/>
        <w:jc w:val="both"/>
        <w:rPr>
          <w:lang w:eastAsia="fr-FR"/>
        </w:rPr>
      </w:pPr>
      <w:r w:rsidRPr="00931ED3">
        <w:rPr>
          <w:lang w:eastAsia="fr-FR"/>
        </w:rPr>
        <w:t>2.1. Faciliter la communication</w:t>
      </w:r>
    </w:p>
    <w:p w14:paraId="1F4E5039" w14:textId="177712EE" w:rsidR="00931ED3" w:rsidRPr="00931ED3" w:rsidRDefault="00931ED3" w:rsidP="00463FF8">
      <w:pPr>
        <w:spacing w:after="0" w:line="240" w:lineRule="auto"/>
        <w:jc w:val="both"/>
        <w:rPr>
          <w:lang w:eastAsia="fr-FR"/>
        </w:rPr>
      </w:pPr>
      <w:r>
        <w:t xml:space="preserve">Les espaces partagés, portails fournisseurs et échanges structurés peuvent faciliter la coordination, sous réserve de définir qui produit, valide, actualise et consulte chaque information. Le </w:t>
      </w:r>
      <w:r w:rsidR="00463FF8">
        <w:t>« </w:t>
      </w:r>
      <w:r>
        <w:t>temps réel</w:t>
      </w:r>
      <w:r w:rsidR="00463FF8">
        <w:t> »</w:t>
      </w:r>
      <w:r>
        <w:t xml:space="preserve"> est un objectif éventuel, non une propriété garantie de toute plateforme collaborative.</w:t>
      </w:r>
    </w:p>
    <w:p w14:paraId="1A686AA8" w14:textId="77777777" w:rsidR="00931ED3" w:rsidRPr="00931ED3" w:rsidRDefault="00931ED3" w:rsidP="00463FF8">
      <w:pPr>
        <w:pStyle w:val="Titre3"/>
        <w:spacing w:before="0" w:after="0" w:line="240" w:lineRule="auto"/>
        <w:jc w:val="both"/>
        <w:rPr>
          <w:lang w:eastAsia="fr-FR"/>
        </w:rPr>
      </w:pPr>
      <w:r w:rsidRPr="00931ED3">
        <w:rPr>
          <w:lang w:eastAsia="fr-FR"/>
        </w:rPr>
        <w:t>2.2. Standardiser les pratiques</w:t>
      </w:r>
    </w:p>
    <w:p w14:paraId="32D0819A" w14:textId="77777777" w:rsidR="00931ED3" w:rsidRPr="00931ED3" w:rsidRDefault="00931ED3" w:rsidP="00463FF8">
      <w:pPr>
        <w:spacing w:after="0" w:line="240" w:lineRule="auto"/>
        <w:jc w:val="both"/>
        <w:rPr>
          <w:lang w:eastAsia="fr-FR"/>
        </w:rPr>
      </w:pPr>
      <w:r>
        <w:t>Les référentiels et processus communs facilitent les comparaisons entre sites et partenaires, mais doivent conserver la flexibilité indispensable aux contraintes locales. Une standardisation excessive peut nuire à l’appropriation des outils de gestion.</w:t>
      </w:r>
    </w:p>
    <w:p w14:paraId="0408D13B" w14:textId="77777777" w:rsidR="00931ED3" w:rsidRPr="00931ED3" w:rsidRDefault="00931ED3" w:rsidP="00463FF8">
      <w:pPr>
        <w:pStyle w:val="Titre3"/>
        <w:spacing w:before="0" w:after="0" w:line="240" w:lineRule="auto"/>
        <w:jc w:val="both"/>
        <w:rPr>
          <w:lang w:eastAsia="fr-FR"/>
        </w:rPr>
      </w:pPr>
      <w:r w:rsidRPr="00931ED3">
        <w:rPr>
          <w:lang w:eastAsia="fr-FR"/>
        </w:rPr>
        <w:t>2.3. Soutenir la prise de décision</w:t>
      </w:r>
    </w:p>
    <w:p w14:paraId="614F8791" w14:textId="6DFB60FA" w:rsidR="00931ED3" w:rsidRPr="00931ED3" w:rsidRDefault="00931ED3" w:rsidP="00463FF8">
      <w:pPr>
        <w:spacing w:after="0" w:line="240" w:lineRule="auto"/>
        <w:jc w:val="both"/>
        <w:rPr>
          <w:lang w:eastAsia="fr-FR"/>
        </w:rPr>
      </w:pPr>
      <w:r>
        <w:t>Indicateurs, tableaux de bord et mécanismes d’auto-évaluation peuvent soutenir le suivi des objectifs. Leur interprétation dépend de la qualité des données, de la définition des indicateurs et des délais de remontée</w:t>
      </w:r>
      <w:r w:rsidR="00463FF8">
        <w:t> ;</w:t>
      </w:r>
      <w:r>
        <w:t xml:space="preserve"> la seule informatisation n’assure ni une information </w:t>
      </w:r>
      <w:r w:rsidR="00463FF8">
        <w:t>« </w:t>
      </w:r>
      <w:r>
        <w:t>en temps réel</w:t>
      </w:r>
      <w:r w:rsidR="00463FF8">
        <w:t> »</w:t>
      </w:r>
      <w:r>
        <w:t xml:space="preserve"> ni la pertinence des décisions.</w:t>
      </w:r>
    </w:p>
    <w:p w14:paraId="4310BC4A" w14:textId="77777777" w:rsidR="00931ED3" w:rsidRPr="00931ED3" w:rsidRDefault="00931ED3" w:rsidP="00463FF8">
      <w:pPr>
        <w:pStyle w:val="Titre3"/>
        <w:spacing w:before="0" w:after="0" w:line="240" w:lineRule="auto"/>
        <w:jc w:val="both"/>
        <w:rPr>
          <w:lang w:eastAsia="fr-FR"/>
        </w:rPr>
      </w:pPr>
      <w:r w:rsidRPr="00931ED3">
        <w:rPr>
          <w:lang w:eastAsia="fr-FR"/>
        </w:rPr>
        <w:lastRenderedPageBreak/>
        <w:t>2.4. Réduire les risques</w:t>
      </w:r>
    </w:p>
    <w:p w14:paraId="74142AF6" w14:textId="187951C3" w:rsidR="00931ED3" w:rsidRPr="00931ED3" w:rsidRDefault="00931ED3" w:rsidP="00463FF8">
      <w:pPr>
        <w:spacing w:after="0" w:line="240" w:lineRule="auto"/>
        <w:jc w:val="both"/>
        <w:rPr>
          <w:lang w:eastAsia="fr-FR"/>
        </w:rPr>
      </w:pPr>
      <w:r>
        <w:t>L’informatisation peut améliorer la traçabilité des opérations, mais introduit des risques propres</w:t>
      </w:r>
      <w:r w:rsidR="00463FF8">
        <w:t> :</w:t>
      </w:r>
      <w:r>
        <w:t xml:space="preserve"> erreurs de saisie, accès non autorisés, indisponibilité, dépendance fournisseur et exposition des informations partagées. La gestion des habilitations, les engagements contractuels et les plans de continuité sont nécessaires.</w:t>
      </w:r>
    </w:p>
    <w:p w14:paraId="3E63C71E" w14:textId="6B26D60D" w:rsidR="00931ED3" w:rsidRPr="00931ED3" w:rsidRDefault="00931ED3" w:rsidP="00463FF8">
      <w:pPr>
        <w:pStyle w:val="Titre1"/>
        <w:rPr>
          <w:lang w:eastAsia="fr-FR"/>
        </w:rPr>
      </w:pPr>
      <w:r w:rsidRPr="00931ED3">
        <w:rPr>
          <w:lang w:eastAsia="fr-FR"/>
        </w:rPr>
        <w:t>3. Cas pratique</w:t>
      </w:r>
      <w:r w:rsidR="00463FF8">
        <w:rPr>
          <w:lang w:eastAsia="fr-FR"/>
        </w:rPr>
        <w:t> :</w:t>
      </w:r>
      <w:r w:rsidRPr="00931ED3">
        <w:rPr>
          <w:lang w:eastAsia="fr-FR"/>
        </w:rPr>
        <w:t xml:space="preserve"> l’exemple de Valeo</w:t>
      </w:r>
    </w:p>
    <w:p w14:paraId="14DA9308" w14:textId="064C00F8" w:rsidR="00931ED3" w:rsidRPr="00931ED3" w:rsidRDefault="00931ED3" w:rsidP="00463FF8">
      <w:pPr>
        <w:spacing w:after="0" w:line="240" w:lineRule="auto"/>
        <w:jc w:val="both"/>
        <w:rPr>
          <w:lang w:eastAsia="fr-FR"/>
        </w:rPr>
      </w:pPr>
      <w:r>
        <w:t xml:space="preserve">L’article de Sébastien </w:t>
      </w:r>
      <w:proofErr w:type="spellStart"/>
      <w:r>
        <w:t>Tran</w:t>
      </w:r>
      <w:proofErr w:type="spellEnd"/>
      <w:r>
        <w:t xml:space="preserve"> étudie le déploiement de </w:t>
      </w:r>
      <w:r w:rsidR="00463FF8">
        <w:t>« </w:t>
      </w:r>
      <w:r>
        <w:t>roadmaps de management</w:t>
      </w:r>
      <w:r w:rsidR="00463FF8">
        <w:t> »</w:t>
      </w:r>
      <w:r>
        <w:t xml:space="preserve"> chez Valeo dans le contexte analysé au moment de la recherche (publication</w:t>
      </w:r>
      <w:r w:rsidR="00463FF8">
        <w:t> :</w:t>
      </w:r>
      <w:r>
        <w:t xml:space="preserve"> 2012). Cette étude historique ne permet pas d’affirmer quels outils ou dispositifs sont aujourd’hui utilisés par Valeo.</w:t>
      </w:r>
    </w:p>
    <w:p w14:paraId="2047582D" w14:textId="77777777" w:rsidR="00931ED3" w:rsidRPr="00931ED3" w:rsidRDefault="00931ED3" w:rsidP="00463FF8">
      <w:pPr>
        <w:pStyle w:val="Titre3"/>
        <w:spacing w:before="0" w:after="0" w:line="240" w:lineRule="auto"/>
        <w:jc w:val="both"/>
        <w:rPr>
          <w:lang w:eastAsia="fr-FR"/>
        </w:rPr>
      </w:pPr>
      <w:r w:rsidRPr="00931ED3">
        <w:rPr>
          <w:lang w:eastAsia="fr-FR"/>
        </w:rPr>
        <w:t>3.1. Les "roadmaps de management"</w:t>
      </w:r>
    </w:p>
    <w:p w14:paraId="6C0E67A6" w14:textId="7318806C" w:rsidR="00931ED3" w:rsidRPr="00931ED3" w:rsidRDefault="00931ED3" w:rsidP="00463FF8">
      <w:pPr>
        <w:spacing w:after="0" w:line="240" w:lineRule="auto"/>
        <w:jc w:val="both"/>
        <w:rPr>
          <w:lang w:eastAsia="fr-FR"/>
        </w:rPr>
      </w:pPr>
      <w:r>
        <w:t xml:space="preserve">Les </w:t>
      </w:r>
      <w:r w:rsidR="00463FF8">
        <w:t>« </w:t>
      </w:r>
      <w:r>
        <w:t>roadmaps de management</w:t>
      </w:r>
      <w:r w:rsidR="00463FF8">
        <w:t> »</w:t>
      </w:r>
      <w:r>
        <w:t xml:space="preserve"> étudiées sont des outils formalisés de progrès et d’auto-évaluation utilisés pour déployer des objectifs et des pratiques communes dans les sites de l’organisation. Elles prennent appui sur la méthode 5 </w:t>
      </w:r>
      <w:proofErr w:type="spellStart"/>
      <w:r>
        <w:t>Steps</w:t>
      </w:r>
      <w:proofErr w:type="spellEnd"/>
      <w:r>
        <w:t>, tandis qu’une plateforme SI en permet la matérialisation et la diffusion.</w:t>
      </w:r>
    </w:p>
    <w:p w14:paraId="7FAB3912" w14:textId="77777777" w:rsidR="00931ED3" w:rsidRPr="00931ED3" w:rsidRDefault="00931ED3" w:rsidP="00463FF8">
      <w:pPr>
        <w:numPr>
          <w:ilvl w:val="0"/>
          <w:numId w:val="2"/>
        </w:numPr>
        <w:spacing w:after="0" w:line="240" w:lineRule="auto"/>
        <w:jc w:val="both"/>
        <w:rPr>
          <w:lang w:eastAsia="fr-FR"/>
        </w:rPr>
      </w:pPr>
      <w:r>
        <w:t>Elles explicitent des étapes de progrès, des exigences partagées et des responsabilités d’évaluation.</w:t>
      </w:r>
    </w:p>
    <w:p w14:paraId="66B96BC9" w14:textId="77777777" w:rsidR="00931ED3" w:rsidRPr="00931ED3" w:rsidRDefault="00931ED3" w:rsidP="00463FF8">
      <w:pPr>
        <w:numPr>
          <w:ilvl w:val="0"/>
          <w:numId w:val="2"/>
        </w:numPr>
        <w:spacing w:after="0" w:line="240" w:lineRule="auto"/>
        <w:jc w:val="both"/>
        <w:rPr>
          <w:lang w:eastAsia="fr-FR"/>
        </w:rPr>
      </w:pPr>
      <w:r>
        <w:t>Elles rendent possible la collecte, la consolidation et la consultation des évaluations de différents sites, selon les périodicités retenues.</w:t>
      </w:r>
    </w:p>
    <w:p w14:paraId="7268EEC9" w14:textId="77777777" w:rsidR="00931ED3" w:rsidRPr="00931ED3" w:rsidRDefault="00931ED3" w:rsidP="00463FF8">
      <w:pPr>
        <w:numPr>
          <w:ilvl w:val="0"/>
          <w:numId w:val="2"/>
        </w:numPr>
        <w:spacing w:after="0" w:line="240" w:lineRule="auto"/>
        <w:jc w:val="both"/>
        <w:rPr>
          <w:lang w:eastAsia="fr-FR"/>
        </w:rPr>
      </w:pPr>
      <w:r>
        <w:t>Elles servent de support aux échanges et à l’appropriation des pratiques, sans supprimer les difficultés organisationnelles.</w:t>
      </w:r>
    </w:p>
    <w:p w14:paraId="3E9D7D05" w14:textId="77777777" w:rsidR="00931ED3" w:rsidRPr="00931ED3" w:rsidRDefault="00931ED3" w:rsidP="00463FF8">
      <w:pPr>
        <w:pStyle w:val="Titre3"/>
        <w:spacing w:before="0" w:after="0" w:line="240" w:lineRule="auto"/>
        <w:jc w:val="both"/>
        <w:rPr>
          <w:lang w:eastAsia="fr-FR"/>
        </w:rPr>
      </w:pPr>
      <w:r w:rsidRPr="00931ED3">
        <w:rPr>
          <w:lang w:eastAsia="fr-FR"/>
        </w:rPr>
        <w:t>3.2. Résultats obtenus</w:t>
      </w:r>
    </w:p>
    <w:p w14:paraId="3AD20727" w14:textId="77777777" w:rsidR="00931ED3" w:rsidRPr="00931ED3" w:rsidRDefault="00931ED3" w:rsidP="00463FF8">
      <w:pPr>
        <w:spacing w:after="0" w:line="240" w:lineRule="auto"/>
        <w:jc w:val="both"/>
        <w:rPr>
          <w:lang w:eastAsia="fr-FR"/>
        </w:rPr>
      </w:pPr>
      <w:r>
        <w:t>L’étude met notamment en évidence l’articulation entre méthode de gestion (roadmaps), outil informatique support (plateforme Matrix, avec une partie de SAP dans le cas étudié) et appropriation des utilisateurs. La diffusion de l’outil sur plusieurs sites constitue une possibilité stratégique, mais ses effets sur la performance restent conditionnés par les formations, l’ergonomie, la connectivité et les usages. Il serait excessif d’attribuer à ce seul SI des gains chiffrés non démontrés dans la présente fiche.</w:t>
      </w:r>
    </w:p>
    <w:p w14:paraId="2C877C39" w14:textId="77777777" w:rsidR="00931ED3" w:rsidRPr="00931ED3" w:rsidRDefault="00931ED3" w:rsidP="00463FF8">
      <w:pPr>
        <w:pStyle w:val="Titre1"/>
        <w:rPr>
          <w:lang w:eastAsia="fr-FR"/>
        </w:rPr>
      </w:pPr>
      <w:r w:rsidRPr="00931ED3">
        <w:rPr>
          <w:lang w:eastAsia="fr-FR"/>
        </w:rPr>
        <w:t>4. Les implications stratégiques des systèmes d'information</w:t>
      </w:r>
    </w:p>
    <w:p w14:paraId="64B5550C" w14:textId="33B456A8" w:rsidR="00931ED3" w:rsidRPr="00931ED3" w:rsidRDefault="00931ED3" w:rsidP="00463FF8">
      <w:pPr>
        <w:spacing w:after="0" w:line="240" w:lineRule="auto"/>
        <w:jc w:val="both"/>
        <w:rPr>
          <w:lang w:eastAsia="fr-FR"/>
        </w:rPr>
      </w:pPr>
      <w:r>
        <w:t>Les SI constituent une infrastructure du pilotage, et non un substitut aux décisions de management. Leur contribution peut être structurée autour de quatre finalités</w:t>
      </w:r>
      <w:r w:rsidR="00463FF8">
        <w:t> :</w:t>
      </w:r>
    </w:p>
    <w:p w14:paraId="1B8C8BFF" w14:textId="7EB0C1F4" w:rsidR="00931ED3" w:rsidRPr="00931ED3" w:rsidRDefault="00931ED3" w:rsidP="00463FF8">
      <w:pPr>
        <w:numPr>
          <w:ilvl w:val="0"/>
          <w:numId w:val="3"/>
        </w:numPr>
        <w:spacing w:after="0" w:line="240" w:lineRule="auto"/>
        <w:jc w:val="both"/>
        <w:rPr>
          <w:lang w:eastAsia="fr-FR"/>
        </w:rPr>
      </w:pPr>
      <w:r>
        <w:t>Rendre les activités visibles</w:t>
      </w:r>
      <w:r w:rsidR="00463FF8">
        <w:t> :</w:t>
      </w:r>
      <w:r>
        <w:t xml:space="preserve"> partager les définitions des indicateurs et préciser l’origine, la fréquence et les limites des données consolidées.</w:t>
      </w:r>
    </w:p>
    <w:p w14:paraId="79E378EB" w14:textId="4D576EB3" w:rsidR="00931ED3" w:rsidRPr="00931ED3" w:rsidRDefault="00931ED3" w:rsidP="00463FF8">
      <w:pPr>
        <w:numPr>
          <w:ilvl w:val="0"/>
          <w:numId w:val="3"/>
        </w:numPr>
        <w:spacing w:after="0" w:line="240" w:lineRule="auto"/>
        <w:jc w:val="both"/>
        <w:rPr>
          <w:lang w:eastAsia="fr-FR"/>
        </w:rPr>
      </w:pPr>
      <w:r>
        <w:t>Soutenir l’amélioration continue</w:t>
      </w:r>
      <w:r w:rsidR="00463FF8">
        <w:t> :</w:t>
      </w:r>
      <w:r>
        <w:t xml:space="preserve"> diffuser les connaissances et les pratiques en conservant une capacité d’adaptation locale.</w:t>
      </w:r>
    </w:p>
    <w:p w14:paraId="26A2D3EC" w14:textId="77777777" w:rsidR="00931ED3" w:rsidRPr="00931ED3" w:rsidRDefault="00931ED3" w:rsidP="00463FF8">
      <w:pPr>
        <w:numPr>
          <w:ilvl w:val="0"/>
          <w:numId w:val="3"/>
        </w:numPr>
        <w:spacing w:after="0" w:line="240" w:lineRule="auto"/>
        <w:jc w:val="both"/>
        <w:rPr>
          <w:lang w:eastAsia="fr-FR"/>
        </w:rPr>
      </w:pPr>
      <w:r>
        <w:t>Accélérer les remontées d’information utiles, tout en prévoyant une validation et des contrôles de cohérence adaptés à la criticité des décisions.</w:t>
      </w:r>
    </w:p>
    <w:p w14:paraId="4FA8C4A6" w14:textId="77777777" w:rsidR="00931ED3" w:rsidRPr="00931ED3" w:rsidRDefault="00931ED3" w:rsidP="00463FF8">
      <w:pPr>
        <w:numPr>
          <w:ilvl w:val="0"/>
          <w:numId w:val="3"/>
        </w:numPr>
        <w:spacing w:after="0" w:line="240" w:lineRule="auto"/>
        <w:jc w:val="both"/>
        <w:rPr>
          <w:lang w:eastAsia="fr-FR"/>
        </w:rPr>
      </w:pPr>
      <w:r>
        <w:t>Faciliter l’intégration de nouvelles entités, sous réserve de gouverner les référentiels, les interfaces, les accès et la protection des données.</w:t>
      </w:r>
    </w:p>
    <w:p w14:paraId="188CEBD3" w14:textId="3778E81A" w:rsidR="00EA4AC4" w:rsidRDefault="00000000" w:rsidP="00463FF8">
      <w:pPr>
        <w:spacing w:after="0" w:line="240" w:lineRule="auto"/>
        <w:jc w:val="both"/>
      </w:pPr>
      <w:r>
        <w:t>Références</w:t>
      </w:r>
      <w:r w:rsidR="00463FF8">
        <w:t> :</w:t>
      </w:r>
      <w:r>
        <w:t xml:space="preserve"> https://doi.org/10.4000/fcs.99</w:t>
      </w:r>
      <w:r w:rsidR="00463FF8">
        <w:t> ;</w:t>
      </w:r>
      <w:r>
        <w:t xml:space="preserve"> https://www.cnil.fr/fr/securite-gerer-la-sous-traitance</w:t>
      </w:r>
    </w:p>
    <w:p w14:paraId="0F67C053" w14:textId="3A88BA3C" w:rsidR="00463FF8" w:rsidRDefault="00000000" w:rsidP="00463FF8">
      <w:pPr>
        <w:spacing w:after="0" w:line="240" w:lineRule="auto"/>
        <w:jc w:val="both"/>
      </w:pPr>
      <w:r>
        <w:t>Prolongement actuel</w:t>
      </w:r>
      <w:r w:rsidR="00463FF8">
        <w:t> :</w:t>
      </w:r>
      <w:r>
        <w:t xml:space="preserve"> pour une entreprise étendue, la gestion des identités et des droits, les échanges sécurisés (API, EDI), la réversibilité et les obligations liées aux données personnelles doivent être contractualisés avec les partenaires. Une plateforme partagée ne suffit pas à assurer la conformité</w:t>
      </w:r>
      <w:r w:rsidR="00463FF8">
        <w:t> ;</w:t>
      </w:r>
      <w:r>
        <w:t xml:space="preserve"> voir CNIL, </w:t>
      </w:r>
      <w:r w:rsidR="00463FF8">
        <w:t>« </w:t>
      </w:r>
      <w:r>
        <w:t>Sécurité</w:t>
      </w:r>
      <w:r w:rsidR="00463FF8">
        <w:t> :</w:t>
      </w:r>
      <w:r>
        <w:t xml:space="preserve"> gérer la sous-traitance</w:t>
      </w:r>
      <w:r w:rsidR="00463FF8">
        <w:t> »</w:t>
      </w:r>
      <w:r>
        <w:t xml:space="preserve"> (2024).</w:t>
      </w:r>
    </w:p>
    <w:p w14:paraId="34610651" w14:textId="034529F8" w:rsidR="00BB2B03" w:rsidRPr="00BB2B03" w:rsidRDefault="00BB2B03" w:rsidP="00463FF8">
      <w:pPr>
        <w:spacing w:after="0" w:line="240" w:lineRule="auto"/>
        <w:jc w:val="both"/>
      </w:pPr>
    </w:p>
    <w:sectPr w:rsidR="00BB2B03" w:rsidRPr="00BB2B03" w:rsidSect="00463FF8">
      <w:footerReference w:type="default" r:id="rId7"/>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9D240" w14:textId="77777777" w:rsidR="00181228" w:rsidRDefault="00181228" w:rsidP="00580F46">
      <w:pPr>
        <w:spacing w:after="0" w:line="240" w:lineRule="auto"/>
      </w:pPr>
      <w:r>
        <w:separator/>
      </w:r>
    </w:p>
  </w:endnote>
  <w:endnote w:type="continuationSeparator" w:id="0">
    <w:p w14:paraId="161587ED" w14:textId="77777777" w:rsidR="00181228" w:rsidRDefault="00181228" w:rsidP="00580F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9D274" w14:textId="77777777" w:rsidR="00580F46" w:rsidRPr="00580F46" w:rsidRDefault="00580F46" w:rsidP="00580F46">
    <w:pPr>
      <w:pStyle w:val="Pieddepage"/>
      <w:tabs>
        <w:tab w:val="clear" w:pos="9072"/>
        <w:tab w:val="right" w:pos="10348"/>
      </w:tabs>
      <w:rPr>
        <w:b/>
        <w:bCs/>
      </w:rPr>
    </w:pPr>
    <w:r w:rsidRPr="00580F46">
      <w:rPr>
        <w:noProof/>
        <w:color w:val="156082" w:themeColor="accent1"/>
        <w:sz w:val="20"/>
        <w:szCs w:val="20"/>
      </w:rPr>
      <w:drawing>
        <wp:inline distT="0" distB="0" distL="0" distR="0" wp14:anchorId="6D881229" wp14:editId="4350CF01">
          <wp:extent cx="1213794" cy="219075"/>
          <wp:effectExtent l="0" t="0" r="5715" b="0"/>
          <wp:docPr id="113721096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210962" name=""/>
                  <pic:cNvPicPr/>
                </pic:nvPicPr>
                <pic:blipFill>
                  <a:blip r:embed="rId1"/>
                  <a:stretch>
                    <a:fillRect/>
                  </a:stretch>
                </pic:blipFill>
                <pic:spPr>
                  <a:xfrm>
                    <a:off x="0" y="0"/>
                    <a:ext cx="1221249" cy="220421"/>
                  </a:xfrm>
                  <a:prstGeom prst="rect">
                    <a:avLst/>
                  </a:prstGeom>
                </pic:spPr>
              </pic:pic>
            </a:graphicData>
          </a:graphic>
        </wp:inline>
      </w:drawing>
    </w:r>
    <w:r w:rsidRPr="00580F46">
      <w:rPr>
        <w:color w:val="156082" w:themeColor="accent1"/>
        <w:sz w:val="20"/>
        <w:szCs w:val="20"/>
      </w:rPr>
      <w:t xml:space="preserve"> </w:t>
    </w:r>
    <w:r>
      <w:rPr>
        <w:color w:val="156082" w:themeColor="accent1"/>
        <w:sz w:val="20"/>
        <w:szCs w:val="20"/>
      </w:rPr>
      <w:tab/>
    </w:r>
    <w:r>
      <w:rPr>
        <w:color w:val="156082" w:themeColor="accent1"/>
        <w:sz w:val="20"/>
        <w:szCs w:val="20"/>
      </w:rPr>
      <w:tab/>
    </w:r>
    <w:r w:rsidRPr="00580F46">
      <w:rPr>
        <w:b/>
        <w:bCs/>
        <w:sz w:val="20"/>
        <w:szCs w:val="20"/>
      </w:rPr>
      <w:t xml:space="preserve">p. </w:t>
    </w:r>
    <w:r w:rsidRPr="00580F46">
      <w:rPr>
        <w:b/>
        <w:bCs/>
        <w:sz w:val="20"/>
        <w:szCs w:val="20"/>
      </w:rPr>
      <w:fldChar w:fldCharType="begin"/>
    </w:r>
    <w:r w:rsidRPr="00580F46">
      <w:rPr>
        <w:b/>
        <w:bCs/>
        <w:sz w:val="20"/>
        <w:szCs w:val="20"/>
      </w:rPr>
      <w:instrText>PAGE  \* Arabic</w:instrText>
    </w:r>
    <w:r w:rsidRPr="00580F46">
      <w:rPr>
        <w:b/>
        <w:bCs/>
        <w:sz w:val="20"/>
        <w:szCs w:val="20"/>
      </w:rPr>
      <w:fldChar w:fldCharType="separate"/>
    </w:r>
    <w:r w:rsidRPr="00580F46">
      <w:rPr>
        <w:b/>
        <w:bCs/>
        <w:sz w:val="20"/>
        <w:szCs w:val="20"/>
      </w:rPr>
      <w:t>1</w:t>
    </w:r>
    <w:r w:rsidRPr="00580F46">
      <w:rPr>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035778" w14:textId="77777777" w:rsidR="00181228" w:rsidRDefault="00181228" w:rsidP="00580F46">
      <w:pPr>
        <w:spacing w:after="0" w:line="240" w:lineRule="auto"/>
      </w:pPr>
      <w:r>
        <w:separator/>
      </w:r>
    </w:p>
  </w:footnote>
  <w:footnote w:type="continuationSeparator" w:id="0">
    <w:p w14:paraId="730BEF0F" w14:textId="77777777" w:rsidR="00181228" w:rsidRDefault="00181228" w:rsidP="00580F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0917FF"/>
    <w:multiLevelType w:val="multilevel"/>
    <w:tmpl w:val="74C05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D1B5BE1"/>
    <w:multiLevelType w:val="multilevel"/>
    <w:tmpl w:val="37AE9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55E1FE8"/>
    <w:multiLevelType w:val="multilevel"/>
    <w:tmpl w:val="62248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22605870">
    <w:abstractNumId w:val="0"/>
  </w:num>
  <w:num w:numId="2" w16cid:durableId="129324489">
    <w:abstractNumId w:val="2"/>
  </w:num>
  <w:num w:numId="3" w16cid:durableId="983044799">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47E"/>
    <w:rsid w:val="00013702"/>
    <w:rsid w:val="000326D2"/>
    <w:rsid w:val="0013594E"/>
    <w:rsid w:val="00135CDD"/>
    <w:rsid w:val="001666DB"/>
    <w:rsid w:val="00181228"/>
    <w:rsid w:val="001F5435"/>
    <w:rsid w:val="001F64D4"/>
    <w:rsid w:val="002826AD"/>
    <w:rsid w:val="002F2663"/>
    <w:rsid w:val="00305E8E"/>
    <w:rsid w:val="00375473"/>
    <w:rsid w:val="003D4892"/>
    <w:rsid w:val="003E639A"/>
    <w:rsid w:val="004042EB"/>
    <w:rsid w:val="00463FF8"/>
    <w:rsid w:val="004A6242"/>
    <w:rsid w:val="004D247E"/>
    <w:rsid w:val="004D79B3"/>
    <w:rsid w:val="004E074F"/>
    <w:rsid w:val="0050112B"/>
    <w:rsid w:val="00580F46"/>
    <w:rsid w:val="005962A0"/>
    <w:rsid w:val="005B4561"/>
    <w:rsid w:val="00610B46"/>
    <w:rsid w:val="006460AB"/>
    <w:rsid w:val="006C0415"/>
    <w:rsid w:val="006C6336"/>
    <w:rsid w:val="00713AC4"/>
    <w:rsid w:val="00723F27"/>
    <w:rsid w:val="007E1FF6"/>
    <w:rsid w:val="00821279"/>
    <w:rsid w:val="008476EE"/>
    <w:rsid w:val="00867FF2"/>
    <w:rsid w:val="009115B1"/>
    <w:rsid w:val="00911C39"/>
    <w:rsid w:val="00931ED3"/>
    <w:rsid w:val="00991621"/>
    <w:rsid w:val="009B0B53"/>
    <w:rsid w:val="00A662DC"/>
    <w:rsid w:val="00AA6814"/>
    <w:rsid w:val="00B649B3"/>
    <w:rsid w:val="00BA73A4"/>
    <w:rsid w:val="00BB2B03"/>
    <w:rsid w:val="00BD718E"/>
    <w:rsid w:val="00CA4633"/>
    <w:rsid w:val="00CC4DE7"/>
    <w:rsid w:val="00D503E9"/>
    <w:rsid w:val="00DA6E3D"/>
    <w:rsid w:val="00DD2902"/>
    <w:rsid w:val="00DE760B"/>
    <w:rsid w:val="00EA4AC4"/>
    <w:rsid w:val="00F4784B"/>
    <w:rsid w:val="00F47F65"/>
    <w:rsid w:val="00FB659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86DF4B"/>
  <w15:chartTrackingRefBased/>
  <w15:docId w15:val="{13132CFF-2D02-454C-9AB4-74585107C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4D24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4D24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4D247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4D247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4D247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D247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D247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D247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D247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D247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4D247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4D247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4D247E"/>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4D247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D247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D247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D247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D247E"/>
    <w:rPr>
      <w:rFonts w:eastAsiaTheme="majorEastAsia" w:cstheme="majorBidi"/>
      <w:color w:val="272727" w:themeColor="text1" w:themeTint="D8"/>
    </w:rPr>
  </w:style>
  <w:style w:type="paragraph" w:styleId="Titre">
    <w:name w:val="Title"/>
    <w:basedOn w:val="Normal"/>
    <w:next w:val="Normal"/>
    <w:link w:val="TitreCar"/>
    <w:uiPriority w:val="10"/>
    <w:qFormat/>
    <w:rsid w:val="004D24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D247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D247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D247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D247E"/>
    <w:pPr>
      <w:spacing w:before="160"/>
      <w:jc w:val="center"/>
    </w:pPr>
    <w:rPr>
      <w:i/>
      <w:iCs/>
      <w:color w:val="404040" w:themeColor="text1" w:themeTint="BF"/>
    </w:rPr>
  </w:style>
  <w:style w:type="character" w:customStyle="1" w:styleId="CitationCar">
    <w:name w:val="Citation Car"/>
    <w:basedOn w:val="Policepardfaut"/>
    <w:link w:val="Citation"/>
    <w:uiPriority w:val="29"/>
    <w:rsid w:val="004D247E"/>
    <w:rPr>
      <w:i/>
      <w:iCs/>
      <w:color w:val="404040" w:themeColor="text1" w:themeTint="BF"/>
    </w:rPr>
  </w:style>
  <w:style w:type="paragraph" w:styleId="Paragraphedeliste">
    <w:name w:val="List Paragraph"/>
    <w:basedOn w:val="Normal"/>
    <w:uiPriority w:val="34"/>
    <w:qFormat/>
    <w:rsid w:val="004D247E"/>
    <w:pPr>
      <w:ind w:left="720"/>
      <w:contextualSpacing/>
    </w:pPr>
  </w:style>
  <w:style w:type="character" w:styleId="Accentuationintense">
    <w:name w:val="Intense Emphasis"/>
    <w:basedOn w:val="Policepardfaut"/>
    <w:uiPriority w:val="21"/>
    <w:qFormat/>
    <w:rsid w:val="004D247E"/>
    <w:rPr>
      <w:i/>
      <w:iCs/>
      <w:color w:val="0F4761" w:themeColor="accent1" w:themeShade="BF"/>
    </w:rPr>
  </w:style>
  <w:style w:type="paragraph" w:styleId="Citationintense">
    <w:name w:val="Intense Quote"/>
    <w:basedOn w:val="Normal"/>
    <w:next w:val="Normal"/>
    <w:link w:val="CitationintenseCar"/>
    <w:uiPriority w:val="30"/>
    <w:qFormat/>
    <w:rsid w:val="004D24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D247E"/>
    <w:rPr>
      <w:i/>
      <w:iCs/>
      <w:color w:val="0F4761" w:themeColor="accent1" w:themeShade="BF"/>
    </w:rPr>
  </w:style>
  <w:style w:type="character" w:styleId="Rfrenceintense">
    <w:name w:val="Intense Reference"/>
    <w:basedOn w:val="Policepardfaut"/>
    <w:uiPriority w:val="32"/>
    <w:qFormat/>
    <w:rsid w:val="004D247E"/>
    <w:rPr>
      <w:b/>
      <w:bCs/>
      <w:smallCaps/>
      <w:color w:val="0F4761" w:themeColor="accent1" w:themeShade="BF"/>
      <w:spacing w:val="5"/>
    </w:rPr>
  </w:style>
  <w:style w:type="character" w:styleId="Lienhypertexte">
    <w:name w:val="Hyperlink"/>
    <w:basedOn w:val="Policepardfaut"/>
    <w:uiPriority w:val="99"/>
    <w:unhideWhenUsed/>
    <w:rsid w:val="004D247E"/>
    <w:rPr>
      <w:color w:val="467886" w:themeColor="hyperlink"/>
      <w:u w:val="single"/>
    </w:rPr>
  </w:style>
  <w:style w:type="character" w:styleId="Mentionnonrsolue">
    <w:name w:val="Unresolved Mention"/>
    <w:basedOn w:val="Policepardfaut"/>
    <w:uiPriority w:val="99"/>
    <w:semiHidden/>
    <w:unhideWhenUsed/>
    <w:rsid w:val="004D247E"/>
    <w:rPr>
      <w:color w:val="605E5C"/>
      <w:shd w:val="clear" w:color="auto" w:fill="E1DFDD"/>
    </w:rPr>
  </w:style>
  <w:style w:type="paragraph" w:styleId="En-tte">
    <w:name w:val="header"/>
    <w:basedOn w:val="Normal"/>
    <w:link w:val="En-tteCar"/>
    <w:uiPriority w:val="99"/>
    <w:unhideWhenUsed/>
    <w:rsid w:val="00580F46"/>
    <w:pPr>
      <w:tabs>
        <w:tab w:val="center" w:pos="4536"/>
        <w:tab w:val="right" w:pos="9072"/>
      </w:tabs>
      <w:spacing w:after="0" w:line="240" w:lineRule="auto"/>
    </w:pPr>
  </w:style>
  <w:style w:type="character" w:customStyle="1" w:styleId="En-tteCar">
    <w:name w:val="En-tête Car"/>
    <w:basedOn w:val="Policepardfaut"/>
    <w:link w:val="En-tte"/>
    <w:uiPriority w:val="99"/>
    <w:rsid w:val="00580F46"/>
  </w:style>
  <w:style w:type="paragraph" w:styleId="Pieddepage">
    <w:name w:val="footer"/>
    <w:basedOn w:val="Normal"/>
    <w:link w:val="PieddepageCar"/>
    <w:uiPriority w:val="99"/>
    <w:unhideWhenUsed/>
    <w:rsid w:val="00580F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80F46"/>
  </w:style>
  <w:style w:type="character" w:styleId="lev">
    <w:name w:val="Strong"/>
    <w:basedOn w:val="Policepardfaut"/>
    <w:uiPriority w:val="22"/>
    <w:qFormat/>
    <w:rsid w:val="00991621"/>
    <w:rPr>
      <w:b/>
      <w:bCs/>
    </w:rPr>
  </w:style>
  <w:style w:type="paragraph" w:styleId="NormalWeb">
    <w:name w:val="Normal (Web)"/>
    <w:basedOn w:val="Normal"/>
    <w:uiPriority w:val="99"/>
    <w:semiHidden/>
    <w:unhideWhenUsed/>
    <w:rsid w:val="00991621"/>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6480">
      <w:bodyDiv w:val="1"/>
      <w:marLeft w:val="0"/>
      <w:marRight w:val="0"/>
      <w:marTop w:val="0"/>
      <w:marBottom w:val="0"/>
      <w:divBdr>
        <w:top w:val="none" w:sz="0" w:space="0" w:color="auto"/>
        <w:left w:val="none" w:sz="0" w:space="0" w:color="auto"/>
        <w:bottom w:val="none" w:sz="0" w:space="0" w:color="auto"/>
        <w:right w:val="none" w:sz="0" w:space="0" w:color="auto"/>
      </w:divBdr>
    </w:div>
    <w:div w:id="88892937">
      <w:bodyDiv w:val="1"/>
      <w:marLeft w:val="0"/>
      <w:marRight w:val="0"/>
      <w:marTop w:val="0"/>
      <w:marBottom w:val="0"/>
      <w:divBdr>
        <w:top w:val="none" w:sz="0" w:space="0" w:color="auto"/>
        <w:left w:val="none" w:sz="0" w:space="0" w:color="auto"/>
        <w:bottom w:val="none" w:sz="0" w:space="0" w:color="auto"/>
        <w:right w:val="none" w:sz="0" w:space="0" w:color="auto"/>
      </w:divBdr>
    </w:div>
    <w:div w:id="240071149">
      <w:bodyDiv w:val="1"/>
      <w:marLeft w:val="0"/>
      <w:marRight w:val="0"/>
      <w:marTop w:val="0"/>
      <w:marBottom w:val="0"/>
      <w:divBdr>
        <w:top w:val="none" w:sz="0" w:space="0" w:color="auto"/>
        <w:left w:val="none" w:sz="0" w:space="0" w:color="auto"/>
        <w:bottom w:val="none" w:sz="0" w:space="0" w:color="auto"/>
        <w:right w:val="none" w:sz="0" w:space="0" w:color="auto"/>
      </w:divBdr>
    </w:div>
    <w:div w:id="279385107">
      <w:bodyDiv w:val="1"/>
      <w:marLeft w:val="0"/>
      <w:marRight w:val="0"/>
      <w:marTop w:val="0"/>
      <w:marBottom w:val="0"/>
      <w:divBdr>
        <w:top w:val="none" w:sz="0" w:space="0" w:color="auto"/>
        <w:left w:val="none" w:sz="0" w:space="0" w:color="auto"/>
        <w:bottom w:val="none" w:sz="0" w:space="0" w:color="auto"/>
        <w:right w:val="none" w:sz="0" w:space="0" w:color="auto"/>
      </w:divBdr>
    </w:div>
    <w:div w:id="283080568">
      <w:bodyDiv w:val="1"/>
      <w:marLeft w:val="0"/>
      <w:marRight w:val="0"/>
      <w:marTop w:val="0"/>
      <w:marBottom w:val="0"/>
      <w:divBdr>
        <w:top w:val="none" w:sz="0" w:space="0" w:color="auto"/>
        <w:left w:val="none" w:sz="0" w:space="0" w:color="auto"/>
        <w:bottom w:val="none" w:sz="0" w:space="0" w:color="auto"/>
        <w:right w:val="none" w:sz="0" w:space="0" w:color="auto"/>
      </w:divBdr>
    </w:div>
    <w:div w:id="317619047">
      <w:bodyDiv w:val="1"/>
      <w:marLeft w:val="0"/>
      <w:marRight w:val="0"/>
      <w:marTop w:val="0"/>
      <w:marBottom w:val="0"/>
      <w:divBdr>
        <w:top w:val="none" w:sz="0" w:space="0" w:color="auto"/>
        <w:left w:val="none" w:sz="0" w:space="0" w:color="auto"/>
        <w:bottom w:val="none" w:sz="0" w:space="0" w:color="auto"/>
        <w:right w:val="none" w:sz="0" w:space="0" w:color="auto"/>
      </w:divBdr>
    </w:div>
    <w:div w:id="336887575">
      <w:bodyDiv w:val="1"/>
      <w:marLeft w:val="0"/>
      <w:marRight w:val="0"/>
      <w:marTop w:val="0"/>
      <w:marBottom w:val="0"/>
      <w:divBdr>
        <w:top w:val="none" w:sz="0" w:space="0" w:color="auto"/>
        <w:left w:val="none" w:sz="0" w:space="0" w:color="auto"/>
        <w:bottom w:val="none" w:sz="0" w:space="0" w:color="auto"/>
        <w:right w:val="none" w:sz="0" w:space="0" w:color="auto"/>
      </w:divBdr>
    </w:div>
    <w:div w:id="386532742">
      <w:bodyDiv w:val="1"/>
      <w:marLeft w:val="0"/>
      <w:marRight w:val="0"/>
      <w:marTop w:val="0"/>
      <w:marBottom w:val="0"/>
      <w:divBdr>
        <w:top w:val="none" w:sz="0" w:space="0" w:color="auto"/>
        <w:left w:val="none" w:sz="0" w:space="0" w:color="auto"/>
        <w:bottom w:val="none" w:sz="0" w:space="0" w:color="auto"/>
        <w:right w:val="none" w:sz="0" w:space="0" w:color="auto"/>
      </w:divBdr>
    </w:div>
    <w:div w:id="564141570">
      <w:bodyDiv w:val="1"/>
      <w:marLeft w:val="0"/>
      <w:marRight w:val="0"/>
      <w:marTop w:val="0"/>
      <w:marBottom w:val="0"/>
      <w:divBdr>
        <w:top w:val="none" w:sz="0" w:space="0" w:color="auto"/>
        <w:left w:val="none" w:sz="0" w:space="0" w:color="auto"/>
        <w:bottom w:val="none" w:sz="0" w:space="0" w:color="auto"/>
        <w:right w:val="none" w:sz="0" w:space="0" w:color="auto"/>
      </w:divBdr>
    </w:div>
    <w:div w:id="630134162">
      <w:bodyDiv w:val="1"/>
      <w:marLeft w:val="0"/>
      <w:marRight w:val="0"/>
      <w:marTop w:val="0"/>
      <w:marBottom w:val="0"/>
      <w:divBdr>
        <w:top w:val="none" w:sz="0" w:space="0" w:color="auto"/>
        <w:left w:val="none" w:sz="0" w:space="0" w:color="auto"/>
        <w:bottom w:val="none" w:sz="0" w:space="0" w:color="auto"/>
        <w:right w:val="none" w:sz="0" w:space="0" w:color="auto"/>
      </w:divBdr>
    </w:div>
    <w:div w:id="632751664">
      <w:bodyDiv w:val="1"/>
      <w:marLeft w:val="0"/>
      <w:marRight w:val="0"/>
      <w:marTop w:val="0"/>
      <w:marBottom w:val="0"/>
      <w:divBdr>
        <w:top w:val="none" w:sz="0" w:space="0" w:color="auto"/>
        <w:left w:val="none" w:sz="0" w:space="0" w:color="auto"/>
        <w:bottom w:val="none" w:sz="0" w:space="0" w:color="auto"/>
        <w:right w:val="none" w:sz="0" w:space="0" w:color="auto"/>
      </w:divBdr>
    </w:div>
    <w:div w:id="640384897">
      <w:bodyDiv w:val="1"/>
      <w:marLeft w:val="0"/>
      <w:marRight w:val="0"/>
      <w:marTop w:val="0"/>
      <w:marBottom w:val="0"/>
      <w:divBdr>
        <w:top w:val="none" w:sz="0" w:space="0" w:color="auto"/>
        <w:left w:val="none" w:sz="0" w:space="0" w:color="auto"/>
        <w:bottom w:val="none" w:sz="0" w:space="0" w:color="auto"/>
        <w:right w:val="none" w:sz="0" w:space="0" w:color="auto"/>
      </w:divBdr>
    </w:div>
    <w:div w:id="775103974">
      <w:bodyDiv w:val="1"/>
      <w:marLeft w:val="0"/>
      <w:marRight w:val="0"/>
      <w:marTop w:val="0"/>
      <w:marBottom w:val="0"/>
      <w:divBdr>
        <w:top w:val="none" w:sz="0" w:space="0" w:color="auto"/>
        <w:left w:val="none" w:sz="0" w:space="0" w:color="auto"/>
        <w:bottom w:val="none" w:sz="0" w:space="0" w:color="auto"/>
        <w:right w:val="none" w:sz="0" w:space="0" w:color="auto"/>
      </w:divBdr>
    </w:div>
    <w:div w:id="796489332">
      <w:bodyDiv w:val="1"/>
      <w:marLeft w:val="0"/>
      <w:marRight w:val="0"/>
      <w:marTop w:val="0"/>
      <w:marBottom w:val="0"/>
      <w:divBdr>
        <w:top w:val="none" w:sz="0" w:space="0" w:color="auto"/>
        <w:left w:val="none" w:sz="0" w:space="0" w:color="auto"/>
        <w:bottom w:val="none" w:sz="0" w:space="0" w:color="auto"/>
        <w:right w:val="none" w:sz="0" w:space="0" w:color="auto"/>
      </w:divBdr>
    </w:div>
    <w:div w:id="810944066">
      <w:bodyDiv w:val="1"/>
      <w:marLeft w:val="0"/>
      <w:marRight w:val="0"/>
      <w:marTop w:val="0"/>
      <w:marBottom w:val="0"/>
      <w:divBdr>
        <w:top w:val="none" w:sz="0" w:space="0" w:color="auto"/>
        <w:left w:val="none" w:sz="0" w:space="0" w:color="auto"/>
        <w:bottom w:val="none" w:sz="0" w:space="0" w:color="auto"/>
        <w:right w:val="none" w:sz="0" w:space="0" w:color="auto"/>
      </w:divBdr>
    </w:div>
    <w:div w:id="818615771">
      <w:bodyDiv w:val="1"/>
      <w:marLeft w:val="0"/>
      <w:marRight w:val="0"/>
      <w:marTop w:val="0"/>
      <w:marBottom w:val="0"/>
      <w:divBdr>
        <w:top w:val="none" w:sz="0" w:space="0" w:color="auto"/>
        <w:left w:val="none" w:sz="0" w:space="0" w:color="auto"/>
        <w:bottom w:val="none" w:sz="0" w:space="0" w:color="auto"/>
        <w:right w:val="none" w:sz="0" w:space="0" w:color="auto"/>
      </w:divBdr>
    </w:div>
    <w:div w:id="857893772">
      <w:bodyDiv w:val="1"/>
      <w:marLeft w:val="0"/>
      <w:marRight w:val="0"/>
      <w:marTop w:val="0"/>
      <w:marBottom w:val="0"/>
      <w:divBdr>
        <w:top w:val="none" w:sz="0" w:space="0" w:color="auto"/>
        <w:left w:val="none" w:sz="0" w:space="0" w:color="auto"/>
        <w:bottom w:val="none" w:sz="0" w:space="0" w:color="auto"/>
        <w:right w:val="none" w:sz="0" w:space="0" w:color="auto"/>
      </w:divBdr>
    </w:div>
    <w:div w:id="859897924">
      <w:bodyDiv w:val="1"/>
      <w:marLeft w:val="0"/>
      <w:marRight w:val="0"/>
      <w:marTop w:val="0"/>
      <w:marBottom w:val="0"/>
      <w:divBdr>
        <w:top w:val="none" w:sz="0" w:space="0" w:color="auto"/>
        <w:left w:val="none" w:sz="0" w:space="0" w:color="auto"/>
        <w:bottom w:val="none" w:sz="0" w:space="0" w:color="auto"/>
        <w:right w:val="none" w:sz="0" w:space="0" w:color="auto"/>
      </w:divBdr>
    </w:div>
    <w:div w:id="1004625974">
      <w:bodyDiv w:val="1"/>
      <w:marLeft w:val="0"/>
      <w:marRight w:val="0"/>
      <w:marTop w:val="0"/>
      <w:marBottom w:val="0"/>
      <w:divBdr>
        <w:top w:val="none" w:sz="0" w:space="0" w:color="auto"/>
        <w:left w:val="none" w:sz="0" w:space="0" w:color="auto"/>
        <w:bottom w:val="none" w:sz="0" w:space="0" w:color="auto"/>
        <w:right w:val="none" w:sz="0" w:space="0" w:color="auto"/>
      </w:divBdr>
    </w:div>
    <w:div w:id="1158034334">
      <w:bodyDiv w:val="1"/>
      <w:marLeft w:val="0"/>
      <w:marRight w:val="0"/>
      <w:marTop w:val="0"/>
      <w:marBottom w:val="0"/>
      <w:divBdr>
        <w:top w:val="none" w:sz="0" w:space="0" w:color="auto"/>
        <w:left w:val="none" w:sz="0" w:space="0" w:color="auto"/>
        <w:bottom w:val="none" w:sz="0" w:space="0" w:color="auto"/>
        <w:right w:val="none" w:sz="0" w:space="0" w:color="auto"/>
      </w:divBdr>
      <w:divsChild>
        <w:div w:id="1818260093">
          <w:marLeft w:val="0"/>
          <w:marRight w:val="0"/>
          <w:marTop w:val="0"/>
          <w:marBottom w:val="0"/>
          <w:divBdr>
            <w:top w:val="none" w:sz="0" w:space="0" w:color="auto"/>
            <w:left w:val="none" w:sz="0" w:space="0" w:color="auto"/>
            <w:bottom w:val="none" w:sz="0" w:space="0" w:color="auto"/>
            <w:right w:val="none" w:sz="0" w:space="0" w:color="auto"/>
          </w:divBdr>
          <w:divsChild>
            <w:div w:id="1643388713">
              <w:marLeft w:val="0"/>
              <w:marRight w:val="0"/>
              <w:marTop w:val="0"/>
              <w:marBottom w:val="0"/>
              <w:divBdr>
                <w:top w:val="none" w:sz="0" w:space="0" w:color="auto"/>
                <w:left w:val="none" w:sz="0" w:space="0" w:color="auto"/>
                <w:bottom w:val="none" w:sz="0" w:space="0" w:color="auto"/>
                <w:right w:val="none" w:sz="0" w:space="0" w:color="auto"/>
              </w:divBdr>
              <w:divsChild>
                <w:div w:id="858738089">
                  <w:marLeft w:val="0"/>
                  <w:marRight w:val="0"/>
                  <w:marTop w:val="0"/>
                  <w:marBottom w:val="0"/>
                  <w:divBdr>
                    <w:top w:val="none" w:sz="0" w:space="0" w:color="auto"/>
                    <w:left w:val="none" w:sz="0" w:space="0" w:color="auto"/>
                    <w:bottom w:val="none" w:sz="0" w:space="0" w:color="auto"/>
                    <w:right w:val="none" w:sz="0" w:space="0" w:color="auto"/>
                  </w:divBdr>
                  <w:divsChild>
                    <w:div w:id="1268856340">
                      <w:marLeft w:val="0"/>
                      <w:marRight w:val="0"/>
                      <w:marTop w:val="0"/>
                      <w:marBottom w:val="0"/>
                      <w:divBdr>
                        <w:top w:val="none" w:sz="0" w:space="0" w:color="auto"/>
                        <w:left w:val="none" w:sz="0" w:space="0" w:color="auto"/>
                        <w:bottom w:val="none" w:sz="0" w:space="0" w:color="auto"/>
                        <w:right w:val="none" w:sz="0" w:space="0" w:color="auto"/>
                      </w:divBdr>
                      <w:divsChild>
                        <w:div w:id="1944995790">
                          <w:marLeft w:val="0"/>
                          <w:marRight w:val="0"/>
                          <w:marTop w:val="0"/>
                          <w:marBottom w:val="0"/>
                          <w:divBdr>
                            <w:top w:val="none" w:sz="0" w:space="0" w:color="auto"/>
                            <w:left w:val="none" w:sz="0" w:space="0" w:color="auto"/>
                            <w:bottom w:val="none" w:sz="0" w:space="0" w:color="auto"/>
                            <w:right w:val="none" w:sz="0" w:space="0" w:color="auto"/>
                          </w:divBdr>
                          <w:divsChild>
                            <w:div w:id="117114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9661965">
      <w:bodyDiv w:val="1"/>
      <w:marLeft w:val="0"/>
      <w:marRight w:val="0"/>
      <w:marTop w:val="0"/>
      <w:marBottom w:val="0"/>
      <w:divBdr>
        <w:top w:val="none" w:sz="0" w:space="0" w:color="auto"/>
        <w:left w:val="none" w:sz="0" w:space="0" w:color="auto"/>
        <w:bottom w:val="none" w:sz="0" w:space="0" w:color="auto"/>
        <w:right w:val="none" w:sz="0" w:space="0" w:color="auto"/>
      </w:divBdr>
    </w:div>
    <w:div w:id="1188713406">
      <w:bodyDiv w:val="1"/>
      <w:marLeft w:val="0"/>
      <w:marRight w:val="0"/>
      <w:marTop w:val="0"/>
      <w:marBottom w:val="0"/>
      <w:divBdr>
        <w:top w:val="none" w:sz="0" w:space="0" w:color="auto"/>
        <w:left w:val="none" w:sz="0" w:space="0" w:color="auto"/>
        <w:bottom w:val="none" w:sz="0" w:space="0" w:color="auto"/>
        <w:right w:val="none" w:sz="0" w:space="0" w:color="auto"/>
      </w:divBdr>
    </w:div>
    <w:div w:id="1287734118">
      <w:bodyDiv w:val="1"/>
      <w:marLeft w:val="0"/>
      <w:marRight w:val="0"/>
      <w:marTop w:val="0"/>
      <w:marBottom w:val="0"/>
      <w:divBdr>
        <w:top w:val="none" w:sz="0" w:space="0" w:color="auto"/>
        <w:left w:val="none" w:sz="0" w:space="0" w:color="auto"/>
        <w:bottom w:val="none" w:sz="0" w:space="0" w:color="auto"/>
        <w:right w:val="none" w:sz="0" w:space="0" w:color="auto"/>
      </w:divBdr>
    </w:div>
    <w:div w:id="1326280531">
      <w:bodyDiv w:val="1"/>
      <w:marLeft w:val="0"/>
      <w:marRight w:val="0"/>
      <w:marTop w:val="0"/>
      <w:marBottom w:val="0"/>
      <w:divBdr>
        <w:top w:val="none" w:sz="0" w:space="0" w:color="auto"/>
        <w:left w:val="none" w:sz="0" w:space="0" w:color="auto"/>
        <w:bottom w:val="none" w:sz="0" w:space="0" w:color="auto"/>
        <w:right w:val="none" w:sz="0" w:space="0" w:color="auto"/>
      </w:divBdr>
    </w:div>
    <w:div w:id="1345089537">
      <w:bodyDiv w:val="1"/>
      <w:marLeft w:val="0"/>
      <w:marRight w:val="0"/>
      <w:marTop w:val="0"/>
      <w:marBottom w:val="0"/>
      <w:divBdr>
        <w:top w:val="none" w:sz="0" w:space="0" w:color="auto"/>
        <w:left w:val="none" w:sz="0" w:space="0" w:color="auto"/>
        <w:bottom w:val="none" w:sz="0" w:space="0" w:color="auto"/>
        <w:right w:val="none" w:sz="0" w:space="0" w:color="auto"/>
      </w:divBdr>
      <w:divsChild>
        <w:div w:id="12657628">
          <w:marLeft w:val="0"/>
          <w:marRight w:val="0"/>
          <w:marTop w:val="0"/>
          <w:marBottom w:val="0"/>
          <w:divBdr>
            <w:top w:val="none" w:sz="0" w:space="0" w:color="auto"/>
            <w:left w:val="none" w:sz="0" w:space="0" w:color="auto"/>
            <w:bottom w:val="none" w:sz="0" w:space="0" w:color="auto"/>
            <w:right w:val="none" w:sz="0" w:space="0" w:color="auto"/>
          </w:divBdr>
          <w:divsChild>
            <w:div w:id="1729576347">
              <w:marLeft w:val="0"/>
              <w:marRight w:val="0"/>
              <w:marTop w:val="0"/>
              <w:marBottom w:val="0"/>
              <w:divBdr>
                <w:top w:val="none" w:sz="0" w:space="0" w:color="auto"/>
                <w:left w:val="none" w:sz="0" w:space="0" w:color="auto"/>
                <w:bottom w:val="none" w:sz="0" w:space="0" w:color="auto"/>
                <w:right w:val="none" w:sz="0" w:space="0" w:color="auto"/>
              </w:divBdr>
              <w:divsChild>
                <w:div w:id="606735263">
                  <w:marLeft w:val="0"/>
                  <w:marRight w:val="0"/>
                  <w:marTop w:val="0"/>
                  <w:marBottom w:val="0"/>
                  <w:divBdr>
                    <w:top w:val="none" w:sz="0" w:space="0" w:color="auto"/>
                    <w:left w:val="none" w:sz="0" w:space="0" w:color="auto"/>
                    <w:bottom w:val="none" w:sz="0" w:space="0" w:color="auto"/>
                    <w:right w:val="none" w:sz="0" w:space="0" w:color="auto"/>
                  </w:divBdr>
                  <w:divsChild>
                    <w:div w:id="744256651">
                      <w:marLeft w:val="0"/>
                      <w:marRight w:val="0"/>
                      <w:marTop w:val="0"/>
                      <w:marBottom w:val="0"/>
                      <w:divBdr>
                        <w:top w:val="none" w:sz="0" w:space="0" w:color="auto"/>
                        <w:left w:val="none" w:sz="0" w:space="0" w:color="auto"/>
                        <w:bottom w:val="none" w:sz="0" w:space="0" w:color="auto"/>
                        <w:right w:val="none" w:sz="0" w:space="0" w:color="auto"/>
                      </w:divBdr>
                      <w:divsChild>
                        <w:div w:id="1717467539">
                          <w:marLeft w:val="0"/>
                          <w:marRight w:val="0"/>
                          <w:marTop w:val="0"/>
                          <w:marBottom w:val="0"/>
                          <w:divBdr>
                            <w:top w:val="none" w:sz="0" w:space="0" w:color="auto"/>
                            <w:left w:val="none" w:sz="0" w:space="0" w:color="auto"/>
                            <w:bottom w:val="none" w:sz="0" w:space="0" w:color="auto"/>
                            <w:right w:val="none" w:sz="0" w:space="0" w:color="auto"/>
                          </w:divBdr>
                          <w:divsChild>
                            <w:div w:id="211374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8629891">
      <w:bodyDiv w:val="1"/>
      <w:marLeft w:val="0"/>
      <w:marRight w:val="0"/>
      <w:marTop w:val="0"/>
      <w:marBottom w:val="0"/>
      <w:divBdr>
        <w:top w:val="none" w:sz="0" w:space="0" w:color="auto"/>
        <w:left w:val="none" w:sz="0" w:space="0" w:color="auto"/>
        <w:bottom w:val="none" w:sz="0" w:space="0" w:color="auto"/>
        <w:right w:val="none" w:sz="0" w:space="0" w:color="auto"/>
      </w:divBdr>
    </w:div>
    <w:div w:id="1501238454">
      <w:bodyDiv w:val="1"/>
      <w:marLeft w:val="0"/>
      <w:marRight w:val="0"/>
      <w:marTop w:val="0"/>
      <w:marBottom w:val="0"/>
      <w:divBdr>
        <w:top w:val="none" w:sz="0" w:space="0" w:color="auto"/>
        <w:left w:val="none" w:sz="0" w:space="0" w:color="auto"/>
        <w:bottom w:val="none" w:sz="0" w:space="0" w:color="auto"/>
        <w:right w:val="none" w:sz="0" w:space="0" w:color="auto"/>
      </w:divBdr>
    </w:div>
    <w:div w:id="1556309916">
      <w:bodyDiv w:val="1"/>
      <w:marLeft w:val="0"/>
      <w:marRight w:val="0"/>
      <w:marTop w:val="0"/>
      <w:marBottom w:val="0"/>
      <w:divBdr>
        <w:top w:val="none" w:sz="0" w:space="0" w:color="auto"/>
        <w:left w:val="none" w:sz="0" w:space="0" w:color="auto"/>
        <w:bottom w:val="none" w:sz="0" w:space="0" w:color="auto"/>
        <w:right w:val="none" w:sz="0" w:space="0" w:color="auto"/>
      </w:divBdr>
    </w:div>
    <w:div w:id="1558512207">
      <w:bodyDiv w:val="1"/>
      <w:marLeft w:val="0"/>
      <w:marRight w:val="0"/>
      <w:marTop w:val="0"/>
      <w:marBottom w:val="0"/>
      <w:divBdr>
        <w:top w:val="none" w:sz="0" w:space="0" w:color="auto"/>
        <w:left w:val="none" w:sz="0" w:space="0" w:color="auto"/>
        <w:bottom w:val="none" w:sz="0" w:space="0" w:color="auto"/>
        <w:right w:val="none" w:sz="0" w:space="0" w:color="auto"/>
      </w:divBdr>
    </w:div>
    <w:div w:id="1581141550">
      <w:bodyDiv w:val="1"/>
      <w:marLeft w:val="0"/>
      <w:marRight w:val="0"/>
      <w:marTop w:val="0"/>
      <w:marBottom w:val="0"/>
      <w:divBdr>
        <w:top w:val="none" w:sz="0" w:space="0" w:color="auto"/>
        <w:left w:val="none" w:sz="0" w:space="0" w:color="auto"/>
        <w:bottom w:val="none" w:sz="0" w:space="0" w:color="auto"/>
        <w:right w:val="none" w:sz="0" w:space="0" w:color="auto"/>
      </w:divBdr>
    </w:div>
    <w:div w:id="1601330568">
      <w:bodyDiv w:val="1"/>
      <w:marLeft w:val="0"/>
      <w:marRight w:val="0"/>
      <w:marTop w:val="0"/>
      <w:marBottom w:val="0"/>
      <w:divBdr>
        <w:top w:val="none" w:sz="0" w:space="0" w:color="auto"/>
        <w:left w:val="none" w:sz="0" w:space="0" w:color="auto"/>
        <w:bottom w:val="none" w:sz="0" w:space="0" w:color="auto"/>
        <w:right w:val="none" w:sz="0" w:space="0" w:color="auto"/>
      </w:divBdr>
    </w:div>
    <w:div w:id="1813670957">
      <w:bodyDiv w:val="1"/>
      <w:marLeft w:val="0"/>
      <w:marRight w:val="0"/>
      <w:marTop w:val="0"/>
      <w:marBottom w:val="0"/>
      <w:divBdr>
        <w:top w:val="none" w:sz="0" w:space="0" w:color="auto"/>
        <w:left w:val="none" w:sz="0" w:space="0" w:color="auto"/>
        <w:bottom w:val="none" w:sz="0" w:space="0" w:color="auto"/>
        <w:right w:val="none" w:sz="0" w:space="0" w:color="auto"/>
      </w:divBdr>
    </w:div>
    <w:div w:id="1922712343">
      <w:bodyDiv w:val="1"/>
      <w:marLeft w:val="0"/>
      <w:marRight w:val="0"/>
      <w:marTop w:val="0"/>
      <w:marBottom w:val="0"/>
      <w:divBdr>
        <w:top w:val="none" w:sz="0" w:space="0" w:color="auto"/>
        <w:left w:val="none" w:sz="0" w:space="0" w:color="auto"/>
        <w:bottom w:val="none" w:sz="0" w:space="0" w:color="auto"/>
        <w:right w:val="none" w:sz="0" w:space="0" w:color="auto"/>
      </w:divBdr>
    </w:div>
    <w:div w:id="2076080540">
      <w:bodyDiv w:val="1"/>
      <w:marLeft w:val="0"/>
      <w:marRight w:val="0"/>
      <w:marTop w:val="0"/>
      <w:marBottom w:val="0"/>
      <w:divBdr>
        <w:top w:val="none" w:sz="0" w:space="0" w:color="auto"/>
        <w:left w:val="none" w:sz="0" w:space="0" w:color="auto"/>
        <w:bottom w:val="none" w:sz="0" w:space="0" w:color="auto"/>
        <w:right w:val="none" w:sz="0" w:space="0" w:color="auto"/>
      </w:divBdr>
    </w:div>
    <w:div w:id="2091004461">
      <w:bodyDiv w:val="1"/>
      <w:marLeft w:val="0"/>
      <w:marRight w:val="0"/>
      <w:marTop w:val="0"/>
      <w:marBottom w:val="0"/>
      <w:divBdr>
        <w:top w:val="none" w:sz="0" w:space="0" w:color="auto"/>
        <w:left w:val="none" w:sz="0" w:space="0" w:color="auto"/>
        <w:bottom w:val="none" w:sz="0" w:space="0" w:color="auto"/>
        <w:right w:val="none" w:sz="0" w:space="0" w:color="auto"/>
      </w:divBdr>
      <w:divsChild>
        <w:div w:id="1651248377">
          <w:marLeft w:val="0"/>
          <w:marRight w:val="0"/>
          <w:marTop w:val="0"/>
          <w:marBottom w:val="0"/>
          <w:divBdr>
            <w:top w:val="none" w:sz="0" w:space="0" w:color="auto"/>
            <w:left w:val="none" w:sz="0" w:space="0" w:color="auto"/>
            <w:bottom w:val="none" w:sz="0" w:space="0" w:color="auto"/>
            <w:right w:val="none" w:sz="0" w:space="0" w:color="auto"/>
          </w:divBdr>
        </w:div>
        <w:div w:id="1159005851">
          <w:marLeft w:val="0"/>
          <w:marRight w:val="0"/>
          <w:marTop w:val="0"/>
          <w:marBottom w:val="0"/>
          <w:divBdr>
            <w:top w:val="none" w:sz="0" w:space="0" w:color="auto"/>
            <w:left w:val="none" w:sz="0" w:space="0" w:color="auto"/>
            <w:bottom w:val="none" w:sz="0" w:space="0" w:color="auto"/>
            <w:right w:val="none" w:sz="0" w:space="0" w:color="auto"/>
          </w:divBdr>
        </w:div>
      </w:divsChild>
    </w:div>
    <w:div w:id="2111317536">
      <w:bodyDiv w:val="1"/>
      <w:marLeft w:val="0"/>
      <w:marRight w:val="0"/>
      <w:marTop w:val="0"/>
      <w:marBottom w:val="0"/>
      <w:divBdr>
        <w:top w:val="none" w:sz="0" w:space="0" w:color="auto"/>
        <w:left w:val="none" w:sz="0" w:space="0" w:color="auto"/>
        <w:bottom w:val="none" w:sz="0" w:space="0" w:color="auto"/>
        <w:right w:val="none" w:sz="0" w:space="0" w:color="auto"/>
      </w:divBdr>
    </w:div>
    <w:div w:id="2140680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1019</Words>
  <Characters>5605</Characters>
  <Application>Microsoft Office Word</Application>
  <DocSecurity>0</DocSecurity>
  <Lines>46</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Georges Cherry</dc:creator>
  <cp:keywords/>
  <dc:description/>
  <cp:lastModifiedBy>Georges Cherry</cp:lastModifiedBy>
  <cp:revision>7</cp:revision>
  <cp:lastPrinted>2024-10-21T07:08:00Z</cp:lastPrinted>
  <dcterms:created xsi:type="dcterms:W3CDTF">2024-11-16T11:16:00Z</dcterms:created>
  <dcterms:modified xsi:type="dcterms:W3CDTF">2026-10-19T05:53:00Z</dcterms:modified>
</cp:coreProperties>
</file>