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8065D" w14:textId="77777777" w:rsidR="003E0E50" w:rsidRPr="003E0E50" w:rsidRDefault="003E0E50" w:rsidP="00CC4079">
      <w:pPr>
        <w:pStyle w:val="Titre1"/>
        <w:spacing w:before="0" w:after="0" w:line="240" w:lineRule="auto"/>
        <w:jc w:val="both"/>
      </w:pPr>
      <w:r w:rsidRPr="003E0E50">
        <w:t>Gouvernance du système d’information (SI)</w:t>
      </w:r>
    </w:p>
    <w:p w14:paraId="54E8FB98" w14:textId="66891A99" w:rsidR="003E0E50" w:rsidRPr="003E0E50" w:rsidRDefault="003E0E50" w:rsidP="00CC4079">
      <w:pPr>
        <w:spacing w:line="240" w:lineRule="auto"/>
        <w:jc w:val="both"/>
      </w:pPr>
      <w:r w:rsidRPr="003E0E50">
        <w:rPr>
          <w:b/>
          <w:bCs/>
        </w:rPr>
        <w:t>Source</w:t>
      </w:r>
      <w:r w:rsidR="00CC4079">
        <w:rPr>
          <w:b/>
          <w:bCs/>
        </w:rPr>
        <w:t> :</w:t>
      </w:r>
      <w:r w:rsidRPr="003E0E50">
        <w:t xml:space="preserve"> </w:t>
      </w:r>
      <w:hyperlink r:id="rId7" w:tgtFrame="_new" w:history="1">
        <w:r w:rsidRPr="003E0E50">
          <w:rPr>
            <w:rStyle w:val="Lienhypertexte"/>
          </w:rPr>
          <w:t>https://www.piloter.org/gouvernance/index.htm</w:t>
        </w:r>
      </w:hyperlink>
    </w:p>
    <w:p w14:paraId="348405B4" w14:textId="77777777" w:rsidR="003E0E50" w:rsidRPr="003E0E50" w:rsidRDefault="003E0E50" w:rsidP="00CC4079">
      <w:pPr>
        <w:pStyle w:val="Titre2"/>
        <w:spacing w:before="0" w:after="0" w:line="240" w:lineRule="auto"/>
        <w:jc w:val="both"/>
      </w:pPr>
      <w:r w:rsidRPr="003E0E50">
        <w:t>Introduction</w:t>
      </w:r>
    </w:p>
    <w:p w14:paraId="47DBAC79" w14:textId="77777777" w:rsidR="003E0E50" w:rsidRPr="003E0E50" w:rsidRDefault="003E0E50" w:rsidP="00CC4079">
      <w:pPr>
        <w:spacing w:line="240" w:lineRule="auto"/>
        <w:jc w:val="both"/>
      </w:pPr>
      <w:r w:rsidRPr="003E0E50">
        <w:t>La gouvernance du système d’information organise les décisions concernant les orientations, les investissements, les risques et l’évaluation du SI. Elle vise à créer de la valeur au service de la stratégie, sans se confondre avec la gestion quotidienne des services ou des projets. Son efficacité dépend des responsabilités effectivement attribuées et des résultats mesurés.</w:t>
      </w:r>
    </w:p>
    <w:p w14:paraId="7ACE8E2B" w14:textId="77777777" w:rsidR="003E0E50" w:rsidRPr="003E0E50" w:rsidRDefault="003E0E50" w:rsidP="00CC4079">
      <w:pPr>
        <w:pStyle w:val="Titre1"/>
      </w:pPr>
      <w:r w:rsidRPr="003E0E50">
        <w:t>1. Définition et objectifs de la gouvernance du SI</w:t>
      </w:r>
    </w:p>
    <w:p w14:paraId="6130FF0E" w14:textId="6BADBA28" w:rsidR="003E0E50" w:rsidRPr="003E0E50" w:rsidRDefault="003E0E50" w:rsidP="00CC4079">
      <w:pPr>
        <w:spacing w:line="240" w:lineRule="auto"/>
        <w:jc w:val="both"/>
      </w:pPr>
      <w:r w:rsidRPr="003E0E50">
        <w:t>La gouvernance du SI constitue un dispositif de décision et de contrôle piloté par la direction et les instances mandatées. Elle évalue les besoins des parties prenantes, fixe les orientations et surveille l’atteinte des objectifs. Les équipes métiers et techniques organisent ensuite les activités opérationnelles dans ce cadre. Objectifs principaux</w:t>
      </w:r>
      <w:r w:rsidR="00CC4079">
        <w:t> :</w:t>
      </w:r>
    </w:p>
    <w:p w14:paraId="2FB5AA9B" w14:textId="52CD7876" w:rsidR="003E0E50" w:rsidRPr="003E0E50" w:rsidRDefault="003E0E50">
      <w:pPr>
        <w:numPr>
          <w:ilvl w:val="0"/>
          <w:numId w:val="1"/>
        </w:numPr>
        <w:spacing w:line="240" w:lineRule="auto"/>
        <w:jc w:val="both"/>
      </w:pPr>
      <w:r w:rsidRPr="003E0E50">
        <w:rPr>
          <w:b/>
          <w:bCs/>
        </w:rPr>
        <w:t>Alignement stratégique</w:t>
      </w:r>
      <w:r w:rsidR="00CC4079">
        <w:rPr>
          <w:b/>
          <w:bCs/>
        </w:rPr>
        <w:t> :</w:t>
      </w:r>
      <w:r w:rsidRPr="003E0E50">
        <w:rPr>
          <w:b/>
          <w:bCs/>
        </w:rPr>
        <w:t xml:space="preserve"> traduire les priorités de l’organisation en objectifs de SI mesurables et arbitrer les projets concurrents.</w:t>
      </w:r>
    </w:p>
    <w:p w14:paraId="675ED313" w14:textId="3CADADA9" w:rsidR="003E0E50" w:rsidRPr="003E0E50" w:rsidRDefault="003E0E50">
      <w:pPr>
        <w:numPr>
          <w:ilvl w:val="0"/>
          <w:numId w:val="1"/>
        </w:numPr>
        <w:spacing w:line="240" w:lineRule="auto"/>
        <w:jc w:val="both"/>
      </w:pPr>
      <w:r w:rsidRPr="003E0E50">
        <w:rPr>
          <w:b/>
          <w:bCs/>
        </w:rPr>
        <w:t>Ressources</w:t>
      </w:r>
      <w:r w:rsidR="00CC4079">
        <w:rPr>
          <w:b/>
          <w:bCs/>
        </w:rPr>
        <w:t> :</w:t>
      </w:r>
      <w:r w:rsidRPr="003E0E50">
        <w:rPr>
          <w:b/>
          <w:bCs/>
        </w:rPr>
        <w:t xml:space="preserve"> arbitrer les budgets, les compétences, les dépendances aux prestataires et les actifs numériques au regard des bénéfices attendus.</w:t>
      </w:r>
    </w:p>
    <w:p w14:paraId="3BD466C8" w14:textId="0FEF1D8B" w:rsidR="003E0E50" w:rsidRPr="003E0E50" w:rsidRDefault="003E0E50">
      <w:pPr>
        <w:numPr>
          <w:ilvl w:val="0"/>
          <w:numId w:val="1"/>
        </w:numPr>
        <w:spacing w:line="240" w:lineRule="auto"/>
        <w:jc w:val="both"/>
      </w:pPr>
      <w:r w:rsidRPr="003E0E50">
        <w:rPr>
          <w:b/>
          <w:bCs/>
        </w:rPr>
        <w:t>Gestion des risques</w:t>
      </w:r>
      <w:r w:rsidR="00CC4079">
        <w:rPr>
          <w:b/>
          <w:bCs/>
        </w:rPr>
        <w:t> :</w:t>
      </w:r>
      <w:r w:rsidRPr="003E0E50">
        <w:rPr>
          <w:b/>
          <w:bCs/>
        </w:rPr>
        <w:t xml:space="preserve"> identifier, évaluer et traiter les risques de sécurité, de continuité, de conformité, de qualité des données et de dépendance fournisseurs.</w:t>
      </w:r>
    </w:p>
    <w:p w14:paraId="5E77C931" w14:textId="2234483B" w:rsidR="003E0E50" w:rsidRPr="003E0E50" w:rsidRDefault="003E0E50">
      <w:pPr>
        <w:numPr>
          <w:ilvl w:val="0"/>
          <w:numId w:val="1"/>
        </w:numPr>
        <w:spacing w:line="240" w:lineRule="auto"/>
        <w:jc w:val="both"/>
      </w:pPr>
      <w:r w:rsidRPr="003E0E50">
        <w:rPr>
          <w:b/>
          <w:bCs/>
        </w:rPr>
        <w:t>Conformité</w:t>
      </w:r>
      <w:r w:rsidR="00CC4079">
        <w:rPr>
          <w:b/>
          <w:bCs/>
        </w:rPr>
        <w:t> :</w:t>
      </w:r>
      <w:r w:rsidRPr="003E0E50">
        <w:rPr>
          <w:b/>
          <w:bCs/>
        </w:rPr>
        <w:t xml:space="preserve"> identifier les obligations applicables (par exemple données personnelles, contrats, règles sectorielles), affecter des responsables et organiser les contrôles. La gouvernance contribue à la conformité sans la garantir automatiquement.</w:t>
      </w:r>
    </w:p>
    <w:p w14:paraId="04E7EF99" w14:textId="77777777" w:rsidR="003E0E50" w:rsidRPr="003E0E50" w:rsidRDefault="003E0E50" w:rsidP="00CC4079">
      <w:pPr>
        <w:pStyle w:val="Titre1"/>
      </w:pPr>
      <w:r w:rsidRPr="003E0E50">
        <w:t>2. Principes fondamentaux de la gouvernance du SI</w:t>
      </w:r>
    </w:p>
    <w:p w14:paraId="50DF6705" w14:textId="51C19A29" w:rsidR="003E0E50" w:rsidRPr="003E0E50" w:rsidRDefault="003E0E50" w:rsidP="00CC4079">
      <w:pPr>
        <w:spacing w:line="240" w:lineRule="auto"/>
        <w:jc w:val="both"/>
      </w:pPr>
      <w:r w:rsidRPr="003E0E50">
        <w:t>La gouvernance du SI repose sur plusieurs principes clés</w:t>
      </w:r>
      <w:r w:rsidR="00CC4079">
        <w:t> :</w:t>
      </w:r>
    </w:p>
    <w:p w14:paraId="25800BA0" w14:textId="47D63536" w:rsidR="003E0E50" w:rsidRPr="003E0E50" w:rsidRDefault="003E0E50">
      <w:pPr>
        <w:numPr>
          <w:ilvl w:val="0"/>
          <w:numId w:val="2"/>
        </w:numPr>
        <w:spacing w:line="240" w:lineRule="auto"/>
        <w:jc w:val="both"/>
      </w:pPr>
      <w:r w:rsidRPr="003E0E50">
        <w:rPr>
          <w:b/>
          <w:bCs/>
        </w:rPr>
        <w:t>Alignement stratégique</w:t>
      </w:r>
      <w:r w:rsidR="00CC4079">
        <w:t> :</w:t>
      </w:r>
      <w:r w:rsidRPr="003E0E50">
        <w:t xml:space="preserve"> Le SI doit soutenir directement les objectifs de l’entreprise, en s’intégrant aux processus métiers.</w:t>
      </w:r>
    </w:p>
    <w:p w14:paraId="3C4AC6AD" w14:textId="24D643EB" w:rsidR="003E0E50" w:rsidRPr="003E0E50" w:rsidRDefault="003E0E50">
      <w:pPr>
        <w:numPr>
          <w:ilvl w:val="0"/>
          <w:numId w:val="2"/>
        </w:numPr>
        <w:spacing w:line="240" w:lineRule="auto"/>
        <w:jc w:val="both"/>
      </w:pPr>
      <w:r w:rsidRPr="003E0E50">
        <w:rPr>
          <w:b/>
          <w:bCs/>
        </w:rPr>
        <w:t>Création de valeur</w:t>
      </w:r>
      <w:r w:rsidR="00CC4079">
        <w:t> :</w:t>
      </w:r>
      <w:r w:rsidRPr="003E0E50">
        <w:t xml:space="preserve"> Les technologies de l’information doivent générer des bénéfices mesurables, qu’il s’agisse de gains financiers, de performance, ou de satisfaction client.</w:t>
      </w:r>
    </w:p>
    <w:p w14:paraId="1BB4B49D" w14:textId="3575404B" w:rsidR="003E0E50" w:rsidRPr="003E0E50" w:rsidRDefault="003E0E50">
      <w:pPr>
        <w:numPr>
          <w:ilvl w:val="0"/>
          <w:numId w:val="2"/>
        </w:numPr>
        <w:spacing w:line="240" w:lineRule="auto"/>
        <w:jc w:val="both"/>
      </w:pPr>
      <w:r w:rsidRPr="003E0E50">
        <w:rPr>
          <w:b/>
          <w:bCs/>
        </w:rPr>
        <w:t>Gestion proactive des risques</w:t>
      </w:r>
      <w:r w:rsidR="00CC4079">
        <w:t> :</w:t>
      </w:r>
      <w:r w:rsidRPr="003E0E50">
        <w:t xml:space="preserve"> Les cybermenaces, les pannes et les failles technologiques doivent être anticipées et atténuées.</w:t>
      </w:r>
    </w:p>
    <w:p w14:paraId="7E81B5BC" w14:textId="4C5F1D22" w:rsidR="003E0E50" w:rsidRPr="003E0E50" w:rsidRDefault="003E0E50">
      <w:pPr>
        <w:numPr>
          <w:ilvl w:val="0"/>
          <w:numId w:val="2"/>
        </w:numPr>
        <w:spacing w:line="240" w:lineRule="auto"/>
        <w:jc w:val="both"/>
      </w:pPr>
      <w:r w:rsidRPr="003E0E50">
        <w:rPr>
          <w:b/>
          <w:bCs/>
        </w:rPr>
        <w:t>Évaluation des performances</w:t>
      </w:r>
      <w:r w:rsidR="00CC4079">
        <w:t> :</w:t>
      </w:r>
      <w:r w:rsidRPr="003E0E50">
        <w:t xml:space="preserve"> Des indicateurs de performance (KPI) doivent être définis pour mesurer l’efficacité et l’efficience du SI.</w:t>
      </w:r>
    </w:p>
    <w:p w14:paraId="5125F12C" w14:textId="6E39C5D9" w:rsidR="003E0E50" w:rsidRPr="003E0E50" w:rsidRDefault="003E0E50">
      <w:pPr>
        <w:numPr>
          <w:ilvl w:val="0"/>
          <w:numId w:val="2"/>
        </w:numPr>
        <w:spacing w:line="240" w:lineRule="auto"/>
        <w:jc w:val="both"/>
      </w:pPr>
      <w:r w:rsidRPr="003E0E50">
        <w:rPr>
          <w:b/>
          <w:bCs/>
        </w:rPr>
        <w:t>Responsabilité partagée</w:t>
      </w:r>
      <w:r w:rsidR="00CC4079">
        <w:t> :</w:t>
      </w:r>
      <w:r w:rsidRPr="003E0E50">
        <w:t xml:space="preserve"> Les rôles et responsabilités des parties prenantes, des dirigeants aux équipes IT, doivent être clairement définis.</w:t>
      </w:r>
    </w:p>
    <w:p w14:paraId="5AEDCB04" w14:textId="77777777" w:rsidR="003E0E50" w:rsidRPr="003E0E50" w:rsidRDefault="003E0E50" w:rsidP="00CC4079">
      <w:pPr>
        <w:pStyle w:val="Titre1"/>
      </w:pPr>
      <w:r w:rsidRPr="003E0E50">
        <w:t>3. Méthodes et référentiels pour une gouvernance efficace</w:t>
      </w:r>
    </w:p>
    <w:p w14:paraId="6F923908" w14:textId="6664C892" w:rsidR="003E0E50" w:rsidRPr="003E0E50" w:rsidRDefault="003E0E50" w:rsidP="00CC4079">
      <w:pPr>
        <w:spacing w:line="240" w:lineRule="auto"/>
        <w:jc w:val="both"/>
      </w:pPr>
      <w:r w:rsidRPr="003E0E50">
        <w:t>Pour structurer la gouvernance du SI, plusieurs cadres méthodologiques et référentiels sont disponibles</w:t>
      </w:r>
      <w:r w:rsidR="00CC4079">
        <w:t> :</w:t>
      </w:r>
    </w:p>
    <w:p w14:paraId="57A2ED47" w14:textId="77777777" w:rsidR="003E0E50" w:rsidRPr="003E0E50" w:rsidRDefault="003E0E50" w:rsidP="00CC4079">
      <w:pPr>
        <w:pStyle w:val="Titre3"/>
        <w:spacing w:before="0" w:after="0" w:line="240" w:lineRule="auto"/>
        <w:jc w:val="both"/>
      </w:pPr>
      <w:r w:rsidRPr="003E0E50">
        <w:t>3.1. COBIT 2019 (ISACA)</w:t>
      </w:r>
    </w:p>
    <w:p w14:paraId="2075A2EC" w14:textId="3B2E0989" w:rsidR="003E0E50" w:rsidRPr="003E0E50" w:rsidRDefault="003E0E50" w:rsidP="00CC4079">
      <w:pPr>
        <w:spacing w:line="240" w:lineRule="auto"/>
        <w:jc w:val="both"/>
      </w:pPr>
      <w:r w:rsidRPr="003E0E50">
        <w:t>COBIT 2019 est un cadre de gouvernance et de management de l’information et des technologies. Il distingue les objectifs de gouvernance (EDM</w:t>
      </w:r>
      <w:r w:rsidR="00CC4079">
        <w:t> :</w:t>
      </w:r>
      <w:r w:rsidRPr="003E0E50">
        <w:t xml:space="preserve"> évaluer, orienter, surveiller) des objectifs de management (APO, BAI, DSS, MEA)</w:t>
      </w:r>
      <w:r w:rsidR="00CC4079">
        <w:t> :</w:t>
      </w:r>
      <w:r w:rsidRPr="003E0E50">
        <w:t xml:space="preserve"> planifier, construire, fournir les services et évaluer. Il aide à adapter les objectifs aux besoins de l’organisation</w:t>
      </w:r>
      <w:r w:rsidR="00CC4079">
        <w:t> ;</w:t>
      </w:r>
      <w:r w:rsidRPr="003E0E50">
        <w:t xml:space="preserve"> ce n’est pas une obligation légale générale.</w:t>
      </w:r>
    </w:p>
    <w:p w14:paraId="5BF80150" w14:textId="77777777" w:rsidR="003E0E50" w:rsidRPr="003E0E50" w:rsidRDefault="003E0E50" w:rsidP="00CC4079">
      <w:pPr>
        <w:pStyle w:val="Titre3"/>
        <w:spacing w:before="0" w:after="0" w:line="240" w:lineRule="auto"/>
        <w:jc w:val="both"/>
      </w:pPr>
      <w:r w:rsidRPr="003E0E50">
        <w:t>3.2. ITIL (Information Technology Infrastructure Library)</w:t>
      </w:r>
    </w:p>
    <w:p w14:paraId="54574223" w14:textId="77777777" w:rsidR="003E0E50" w:rsidRPr="003E0E50" w:rsidRDefault="003E0E50" w:rsidP="00CC4079">
      <w:pPr>
        <w:spacing w:line="240" w:lineRule="auto"/>
        <w:jc w:val="both"/>
      </w:pPr>
      <w:r w:rsidRPr="003E0E50">
        <w:t>ITIL (version 5 lancée en 2026) fournit des pratiques pour piloter les produits numériques et les services sur leur cycle de vie. ITIL 4 demeure une édition antérieure largement documentée. ITIL complète la gouvernance du SI, sans remplacer les décisions de direction ni constituer une certification générale de conformité de l’organisation.</w:t>
      </w:r>
    </w:p>
    <w:p w14:paraId="32911E05" w14:textId="77777777" w:rsidR="003E0E50" w:rsidRPr="00CC4079" w:rsidRDefault="003E0E50" w:rsidP="00CC4079">
      <w:pPr>
        <w:pStyle w:val="Titre3"/>
        <w:spacing w:before="0" w:after="0" w:line="240" w:lineRule="auto"/>
        <w:jc w:val="both"/>
        <w:rPr>
          <w:lang w:val="en-GB"/>
        </w:rPr>
      </w:pPr>
      <w:r w:rsidRPr="00CC4079">
        <w:rPr>
          <w:lang w:val="en-GB"/>
        </w:rPr>
        <w:lastRenderedPageBreak/>
        <w:t>3.3. CMMI (Capability Maturity Model Integration)</w:t>
      </w:r>
    </w:p>
    <w:p w14:paraId="04396F7A" w14:textId="77777777" w:rsidR="003E0E50" w:rsidRPr="003E0E50" w:rsidRDefault="003E0E50" w:rsidP="00CC4079">
      <w:pPr>
        <w:spacing w:line="240" w:lineRule="auto"/>
        <w:jc w:val="both"/>
      </w:pPr>
      <w:r w:rsidRPr="003E0E50">
        <w:t>CMMI aide à apprécier et améliorer les capacités des processus de l’organisation (dont développement, services et fournisseurs selon les domaines retenus). Il complète COBIT et ITIL mais ne constitue pas, à lui seul, un dispositif complet de gouvernance du SI.</w:t>
      </w:r>
    </w:p>
    <w:p w14:paraId="15277766" w14:textId="08B5991E" w:rsidR="003E0E50" w:rsidRPr="003E0E50" w:rsidRDefault="003E0E50" w:rsidP="00CC4079">
      <w:pPr>
        <w:pStyle w:val="Titre1"/>
      </w:pPr>
      <w:r w:rsidRPr="003E0E50">
        <w:t>4. Pourquoi une gouvernance du SI est-elle cruciale</w:t>
      </w:r>
      <w:r w:rsidR="00CC4079">
        <w:t> ?</w:t>
      </w:r>
    </w:p>
    <w:p w14:paraId="261C4E16" w14:textId="13EAB210" w:rsidR="003E0E50" w:rsidRPr="003E0E50" w:rsidRDefault="003E0E50" w:rsidP="00CC4079">
      <w:pPr>
        <w:spacing w:line="240" w:lineRule="auto"/>
        <w:jc w:val="both"/>
      </w:pPr>
      <w:r w:rsidRPr="003E0E50">
        <w:t>Historiquement, les SI ont été déployés pour répondre à des besoins opérationnels spécifiques. Aujourd’hui, ils jouent un rôle stratégique majeur dans la transformation numérique des entreprises. Une gouvernance efficace du SI permet de</w:t>
      </w:r>
      <w:r w:rsidR="00CC4079">
        <w:t> :</w:t>
      </w:r>
    </w:p>
    <w:p w14:paraId="26EC6727" w14:textId="680A50BD" w:rsidR="003E0E50" w:rsidRPr="003E0E50" w:rsidRDefault="003E0E50">
      <w:pPr>
        <w:numPr>
          <w:ilvl w:val="0"/>
          <w:numId w:val="3"/>
        </w:numPr>
        <w:spacing w:line="240" w:lineRule="auto"/>
        <w:jc w:val="both"/>
      </w:pPr>
      <w:r w:rsidRPr="003E0E50">
        <w:rPr>
          <w:b/>
          <w:bCs/>
        </w:rPr>
        <w:t>Soutenir les innovations</w:t>
      </w:r>
      <w:r w:rsidR="00CC4079">
        <w:t> :</w:t>
      </w:r>
      <w:r w:rsidRPr="003E0E50">
        <w:t xml:space="preserve"> Intégrer rapidement les nouvelles technologies.</w:t>
      </w:r>
    </w:p>
    <w:p w14:paraId="563E0FBE" w14:textId="135B4573" w:rsidR="003E0E50" w:rsidRPr="003E0E50" w:rsidRDefault="003E0E50">
      <w:pPr>
        <w:numPr>
          <w:ilvl w:val="0"/>
          <w:numId w:val="3"/>
        </w:numPr>
        <w:spacing w:line="240" w:lineRule="auto"/>
        <w:jc w:val="both"/>
      </w:pPr>
      <w:r w:rsidRPr="003E0E50">
        <w:rPr>
          <w:b/>
          <w:bCs/>
        </w:rPr>
        <w:t>Maîtriser les coûts</w:t>
      </w:r>
      <w:r w:rsidR="00CC4079">
        <w:rPr>
          <w:b/>
          <w:bCs/>
        </w:rPr>
        <w:t> :</w:t>
      </w:r>
      <w:r w:rsidRPr="003E0E50">
        <w:rPr>
          <w:b/>
          <w:bCs/>
        </w:rPr>
        <w:t xml:space="preserve"> analyser le coût complet et la valeur produite, éviter les redondances inutiles, sans supposer que toute dépense informatique doit diminuer.</w:t>
      </w:r>
    </w:p>
    <w:p w14:paraId="25EEDE4A" w14:textId="78607462" w:rsidR="003E0E50" w:rsidRPr="003E0E50" w:rsidRDefault="003E0E50">
      <w:pPr>
        <w:numPr>
          <w:ilvl w:val="0"/>
          <w:numId w:val="3"/>
        </w:numPr>
        <w:spacing w:line="240" w:lineRule="auto"/>
        <w:jc w:val="both"/>
      </w:pPr>
      <w:r w:rsidRPr="003E0E50">
        <w:rPr>
          <w:b/>
          <w:bCs/>
        </w:rPr>
        <w:t>Améliorer la prise de décision</w:t>
      </w:r>
      <w:r w:rsidR="00CC4079">
        <w:t> :</w:t>
      </w:r>
      <w:r w:rsidRPr="003E0E50">
        <w:t xml:space="preserve"> Offrir une vue consolidée et fiable des informations clés.</w:t>
      </w:r>
    </w:p>
    <w:p w14:paraId="57D296CC" w14:textId="53882F1F" w:rsidR="003E0E50" w:rsidRPr="003E0E50" w:rsidRDefault="003E0E50">
      <w:pPr>
        <w:numPr>
          <w:ilvl w:val="0"/>
          <w:numId w:val="3"/>
        </w:numPr>
        <w:spacing w:line="240" w:lineRule="auto"/>
        <w:jc w:val="both"/>
      </w:pPr>
      <w:r w:rsidRPr="003E0E50">
        <w:rPr>
          <w:b/>
          <w:bCs/>
        </w:rPr>
        <w:t>Renforcer la sécurité</w:t>
      </w:r>
      <w:r w:rsidR="00CC4079">
        <w:rPr>
          <w:b/>
          <w:bCs/>
        </w:rPr>
        <w:t> :</w:t>
      </w:r>
      <w:r w:rsidRPr="003E0E50">
        <w:rPr>
          <w:b/>
          <w:bCs/>
        </w:rPr>
        <w:t xml:space="preserve"> définir le niveau de risque accepté, les responsabilités et les contrôles, puis suivre les résultats des mesures de prévention, de détection, de réaction et de reprise.</w:t>
      </w:r>
    </w:p>
    <w:p w14:paraId="42C0E305" w14:textId="77777777" w:rsidR="003E0E50" w:rsidRPr="003E0E50" w:rsidRDefault="003E0E50" w:rsidP="00CC4079">
      <w:pPr>
        <w:pStyle w:val="Titre2"/>
        <w:spacing w:before="0" w:after="0" w:line="240" w:lineRule="auto"/>
        <w:jc w:val="both"/>
      </w:pPr>
      <w:r w:rsidRPr="003E0E50">
        <w:t>Conclusion</w:t>
      </w:r>
    </w:p>
    <w:p w14:paraId="7CD2056A" w14:textId="5264C834" w:rsidR="003E0E50" w:rsidRPr="003E0E50" w:rsidRDefault="003E0E50" w:rsidP="00CC4079">
      <w:pPr>
        <w:spacing w:line="240" w:lineRule="auto"/>
        <w:jc w:val="both"/>
      </w:pPr>
      <w:r w:rsidRPr="003E0E50">
        <w:t>La gouvernance du SI est une responsabilité de direction articulant stratégie, métiers, données, technologie et risques. COBIT peut structurer les objectifs de gouvernance</w:t>
      </w:r>
      <w:r w:rsidR="00CC4079">
        <w:t> ;</w:t>
      </w:r>
      <w:r w:rsidRPr="003E0E50">
        <w:t xml:space="preserve"> ITIL, l’exploitation des services</w:t>
      </w:r>
      <w:r w:rsidR="00CC4079">
        <w:t> ;</w:t>
      </w:r>
      <w:r w:rsidRPr="003E0E50">
        <w:t xml:space="preserve"> CMMI, l’amélioration des processus. Aucun référentiel ne garantit à lui seul la création de valeur ou la conformité.</w:t>
      </w:r>
    </w:p>
    <w:p w14:paraId="2026A21B" w14:textId="394AB39D" w:rsidR="002A1761" w:rsidRDefault="00000000" w:rsidP="00CC4079">
      <w:pPr>
        <w:spacing w:line="240" w:lineRule="auto"/>
        <w:jc w:val="both"/>
      </w:pPr>
      <w:r>
        <w:t>Illustration</w:t>
      </w:r>
      <w:r w:rsidR="00CC4079">
        <w:t> :</w:t>
      </w:r>
      <w:r>
        <w:t xml:space="preserve"> un comité de direction décide d’un objectif de disponibilité et d’un budget</w:t>
      </w:r>
      <w:r w:rsidR="00CC4079">
        <w:t> ;</w:t>
      </w:r>
      <w:r>
        <w:t xml:space="preserve"> les responsables métiers fixent les besoins</w:t>
      </w:r>
      <w:r w:rsidR="00CC4079">
        <w:t> ;</w:t>
      </w:r>
      <w:r>
        <w:t xml:space="preserve"> les équipes SI choisissent les moyens</w:t>
      </w:r>
      <w:r w:rsidR="00CC4079">
        <w:t> ;</w:t>
      </w:r>
      <w:r>
        <w:t xml:space="preserve"> un tableau de bord présente service rendu, incidents, risques résiduels et coûts complets. La responsabilité de décision ne se confond pas avec la réalisation technique.</w:t>
      </w:r>
    </w:p>
    <w:sectPr w:rsidR="002A1761" w:rsidSect="00CC4079">
      <w:footerReference w:type="default" r:id="rId8"/>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E90A9B" w14:textId="77777777" w:rsidR="00340B20" w:rsidRDefault="00340B20" w:rsidP="00580F46">
      <w:pPr>
        <w:spacing w:line="240" w:lineRule="auto"/>
      </w:pPr>
      <w:r>
        <w:separator/>
      </w:r>
    </w:p>
  </w:endnote>
  <w:endnote w:type="continuationSeparator" w:id="0">
    <w:p w14:paraId="7F2CC2B2" w14:textId="77777777" w:rsidR="00340B20" w:rsidRDefault="00340B20" w:rsidP="00580F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EAE86" w14:textId="77777777" w:rsidR="00580F46" w:rsidRPr="00580F46" w:rsidRDefault="00580F46" w:rsidP="00580F46">
    <w:pPr>
      <w:pStyle w:val="Pieddepage"/>
      <w:tabs>
        <w:tab w:val="clear" w:pos="9072"/>
        <w:tab w:val="right" w:pos="10348"/>
      </w:tabs>
      <w:rPr>
        <w:b/>
        <w:bCs/>
      </w:rPr>
    </w:pPr>
    <w:r w:rsidRPr="00580F46">
      <w:rPr>
        <w:noProof/>
        <w:color w:val="156082" w:themeColor="accent1"/>
        <w:sz w:val="20"/>
        <w:szCs w:val="20"/>
      </w:rPr>
      <w:drawing>
        <wp:inline distT="0" distB="0" distL="0" distR="0" wp14:anchorId="6D881229" wp14:editId="4350CF01">
          <wp:extent cx="1213794" cy="219075"/>
          <wp:effectExtent l="0" t="0" r="5715" b="0"/>
          <wp:docPr id="113721096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210962" name=""/>
                  <pic:cNvPicPr/>
                </pic:nvPicPr>
                <pic:blipFill>
                  <a:blip r:embed="rId1"/>
                  <a:stretch>
                    <a:fillRect/>
                  </a:stretch>
                </pic:blipFill>
                <pic:spPr>
                  <a:xfrm>
                    <a:off x="0" y="0"/>
                    <a:ext cx="1221249" cy="220421"/>
                  </a:xfrm>
                  <a:prstGeom prst="rect">
                    <a:avLst/>
                  </a:prstGeom>
                </pic:spPr>
              </pic:pic>
            </a:graphicData>
          </a:graphic>
        </wp:inline>
      </w:drawing>
    </w:r>
    <w:r w:rsidRPr="00580F46">
      <w:rPr>
        <w:color w:val="156082" w:themeColor="accent1"/>
        <w:sz w:val="20"/>
        <w:szCs w:val="20"/>
      </w:rPr>
      <w:t xml:space="preserve"> </w:t>
    </w:r>
    <w:r>
      <w:rPr>
        <w:color w:val="156082" w:themeColor="accent1"/>
        <w:sz w:val="20"/>
        <w:szCs w:val="20"/>
      </w:rPr>
      <w:tab/>
    </w:r>
    <w:r>
      <w:rPr>
        <w:color w:val="156082" w:themeColor="accent1"/>
        <w:sz w:val="20"/>
        <w:szCs w:val="20"/>
      </w:rPr>
      <w:tab/>
    </w:r>
    <w:r w:rsidRPr="00580F46">
      <w:rPr>
        <w:b/>
        <w:bCs/>
        <w:sz w:val="20"/>
        <w:szCs w:val="20"/>
      </w:rPr>
      <w:t xml:space="preserve">p. </w:t>
    </w:r>
    <w:r w:rsidRPr="00580F46">
      <w:rPr>
        <w:b/>
        <w:bCs/>
        <w:sz w:val="20"/>
        <w:szCs w:val="20"/>
      </w:rPr>
      <w:fldChar w:fldCharType="begin"/>
    </w:r>
    <w:r w:rsidRPr="00580F46">
      <w:rPr>
        <w:b/>
        <w:bCs/>
        <w:sz w:val="20"/>
        <w:szCs w:val="20"/>
      </w:rPr>
      <w:instrText>PAGE  \* Arabic</w:instrText>
    </w:r>
    <w:r w:rsidRPr="00580F46">
      <w:rPr>
        <w:b/>
        <w:bCs/>
        <w:sz w:val="20"/>
        <w:szCs w:val="20"/>
      </w:rPr>
      <w:fldChar w:fldCharType="separate"/>
    </w:r>
    <w:r w:rsidRPr="00580F46">
      <w:rPr>
        <w:b/>
        <w:bCs/>
        <w:sz w:val="20"/>
        <w:szCs w:val="20"/>
      </w:rPr>
      <w:t>1</w:t>
    </w:r>
    <w:r w:rsidRPr="00580F46">
      <w:rPr>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502A63" w14:textId="77777777" w:rsidR="00340B20" w:rsidRDefault="00340B20" w:rsidP="00580F46">
      <w:pPr>
        <w:spacing w:line="240" w:lineRule="auto"/>
      </w:pPr>
      <w:r>
        <w:separator/>
      </w:r>
    </w:p>
  </w:footnote>
  <w:footnote w:type="continuationSeparator" w:id="0">
    <w:p w14:paraId="5C066E6F" w14:textId="77777777" w:rsidR="00340B20" w:rsidRDefault="00340B20" w:rsidP="00580F4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42979"/>
    <w:multiLevelType w:val="multilevel"/>
    <w:tmpl w:val="99DCF5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5582ED4"/>
    <w:multiLevelType w:val="multilevel"/>
    <w:tmpl w:val="587AC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A05494"/>
    <w:multiLevelType w:val="multilevel"/>
    <w:tmpl w:val="E654B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07990345">
    <w:abstractNumId w:val="1"/>
  </w:num>
  <w:num w:numId="2" w16cid:durableId="1424061098">
    <w:abstractNumId w:val="0"/>
  </w:num>
  <w:num w:numId="3" w16cid:durableId="123859346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47E"/>
    <w:rsid w:val="00013702"/>
    <w:rsid w:val="000326D2"/>
    <w:rsid w:val="0013594E"/>
    <w:rsid w:val="00135CDD"/>
    <w:rsid w:val="001666DB"/>
    <w:rsid w:val="001F5435"/>
    <w:rsid w:val="001F64D4"/>
    <w:rsid w:val="002A1761"/>
    <w:rsid w:val="002F2663"/>
    <w:rsid w:val="00305E8E"/>
    <w:rsid w:val="00340B20"/>
    <w:rsid w:val="00375473"/>
    <w:rsid w:val="003D4892"/>
    <w:rsid w:val="003D6FF4"/>
    <w:rsid w:val="003E0E50"/>
    <w:rsid w:val="003E639A"/>
    <w:rsid w:val="004A6242"/>
    <w:rsid w:val="004B49D6"/>
    <w:rsid w:val="004D247E"/>
    <w:rsid w:val="004E074F"/>
    <w:rsid w:val="0050112B"/>
    <w:rsid w:val="00580F46"/>
    <w:rsid w:val="005962A0"/>
    <w:rsid w:val="005B4561"/>
    <w:rsid w:val="006460AB"/>
    <w:rsid w:val="006C0415"/>
    <w:rsid w:val="006C6336"/>
    <w:rsid w:val="00713AC4"/>
    <w:rsid w:val="007E1FF6"/>
    <w:rsid w:val="00821279"/>
    <w:rsid w:val="008476EE"/>
    <w:rsid w:val="00867FF2"/>
    <w:rsid w:val="009115B1"/>
    <w:rsid w:val="00911C39"/>
    <w:rsid w:val="00931ED3"/>
    <w:rsid w:val="00991621"/>
    <w:rsid w:val="009B0B53"/>
    <w:rsid w:val="009B4249"/>
    <w:rsid w:val="00A366BB"/>
    <w:rsid w:val="00A662DC"/>
    <w:rsid w:val="00A94D14"/>
    <w:rsid w:val="00AA6814"/>
    <w:rsid w:val="00B649B3"/>
    <w:rsid w:val="00B9030D"/>
    <w:rsid w:val="00BA73A4"/>
    <w:rsid w:val="00BB2B03"/>
    <w:rsid w:val="00CA4633"/>
    <w:rsid w:val="00CC4079"/>
    <w:rsid w:val="00CC4DE7"/>
    <w:rsid w:val="00D503E9"/>
    <w:rsid w:val="00DA6E3D"/>
    <w:rsid w:val="00DD2902"/>
    <w:rsid w:val="00DE760B"/>
    <w:rsid w:val="00E9016D"/>
    <w:rsid w:val="00F4784B"/>
    <w:rsid w:val="00F47F65"/>
    <w:rsid w:val="00FA0D8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8BF22"/>
  <w15:chartTrackingRefBased/>
  <w15:docId w15:val="{13132CFF-2D02-454C-9AB4-74585107C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pPr>
  </w:style>
  <w:style w:type="paragraph" w:styleId="Titre1">
    <w:name w:val="heading 1"/>
    <w:basedOn w:val="Normal"/>
    <w:next w:val="Normal"/>
    <w:link w:val="Titre1Car"/>
    <w:uiPriority w:val="9"/>
    <w:qFormat/>
    <w:rsid w:val="004D24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4D24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4D247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4D247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4D247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D247E"/>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D247E"/>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D247E"/>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D247E"/>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D247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4D247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4D247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4D247E"/>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4D247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D247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D247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D247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D247E"/>
    <w:rPr>
      <w:rFonts w:eastAsiaTheme="majorEastAsia" w:cstheme="majorBidi"/>
      <w:color w:val="272727" w:themeColor="text1" w:themeTint="D8"/>
    </w:rPr>
  </w:style>
  <w:style w:type="paragraph" w:styleId="Titre">
    <w:name w:val="Title"/>
    <w:basedOn w:val="Normal"/>
    <w:next w:val="Normal"/>
    <w:link w:val="TitreCar"/>
    <w:uiPriority w:val="10"/>
    <w:qFormat/>
    <w:rsid w:val="004D24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D247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D247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D247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D247E"/>
    <w:pPr>
      <w:spacing w:before="160"/>
      <w:jc w:val="center"/>
    </w:pPr>
    <w:rPr>
      <w:i/>
      <w:iCs/>
      <w:color w:val="404040" w:themeColor="text1" w:themeTint="BF"/>
    </w:rPr>
  </w:style>
  <w:style w:type="character" w:customStyle="1" w:styleId="CitationCar">
    <w:name w:val="Citation Car"/>
    <w:basedOn w:val="Policepardfaut"/>
    <w:link w:val="Citation"/>
    <w:uiPriority w:val="29"/>
    <w:rsid w:val="004D247E"/>
    <w:rPr>
      <w:i/>
      <w:iCs/>
      <w:color w:val="404040" w:themeColor="text1" w:themeTint="BF"/>
    </w:rPr>
  </w:style>
  <w:style w:type="paragraph" w:styleId="Paragraphedeliste">
    <w:name w:val="List Paragraph"/>
    <w:basedOn w:val="Normal"/>
    <w:uiPriority w:val="34"/>
    <w:qFormat/>
    <w:rsid w:val="004D247E"/>
    <w:pPr>
      <w:ind w:left="720"/>
      <w:contextualSpacing/>
    </w:pPr>
  </w:style>
  <w:style w:type="character" w:styleId="Accentuationintense">
    <w:name w:val="Intense Emphasis"/>
    <w:basedOn w:val="Policepardfaut"/>
    <w:uiPriority w:val="21"/>
    <w:qFormat/>
    <w:rsid w:val="004D247E"/>
    <w:rPr>
      <w:i/>
      <w:iCs/>
      <w:color w:val="0F4761" w:themeColor="accent1" w:themeShade="BF"/>
    </w:rPr>
  </w:style>
  <w:style w:type="paragraph" w:styleId="Citationintense">
    <w:name w:val="Intense Quote"/>
    <w:basedOn w:val="Normal"/>
    <w:next w:val="Normal"/>
    <w:link w:val="CitationintenseCar"/>
    <w:uiPriority w:val="30"/>
    <w:qFormat/>
    <w:rsid w:val="004D24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D247E"/>
    <w:rPr>
      <w:i/>
      <w:iCs/>
      <w:color w:val="0F4761" w:themeColor="accent1" w:themeShade="BF"/>
    </w:rPr>
  </w:style>
  <w:style w:type="character" w:styleId="Rfrenceintense">
    <w:name w:val="Intense Reference"/>
    <w:basedOn w:val="Policepardfaut"/>
    <w:uiPriority w:val="32"/>
    <w:qFormat/>
    <w:rsid w:val="004D247E"/>
    <w:rPr>
      <w:b/>
      <w:bCs/>
      <w:smallCaps/>
      <w:color w:val="0F4761" w:themeColor="accent1" w:themeShade="BF"/>
      <w:spacing w:val="5"/>
    </w:rPr>
  </w:style>
  <w:style w:type="character" w:styleId="Lienhypertexte">
    <w:name w:val="Hyperlink"/>
    <w:basedOn w:val="Policepardfaut"/>
    <w:uiPriority w:val="99"/>
    <w:unhideWhenUsed/>
    <w:rsid w:val="004D247E"/>
    <w:rPr>
      <w:color w:val="467886" w:themeColor="hyperlink"/>
      <w:u w:val="single"/>
    </w:rPr>
  </w:style>
  <w:style w:type="character" w:styleId="Mentionnonrsolue">
    <w:name w:val="Unresolved Mention"/>
    <w:basedOn w:val="Policepardfaut"/>
    <w:uiPriority w:val="99"/>
    <w:semiHidden/>
    <w:unhideWhenUsed/>
    <w:rsid w:val="004D247E"/>
    <w:rPr>
      <w:color w:val="605E5C"/>
      <w:shd w:val="clear" w:color="auto" w:fill="E1DFDD"/>
    </w:rPr>
  </w:style>
  <w:style w:type="paragraph" w:styleId="En-tte">
    <w:name w:val="header"/>
    <w:basedOn w:val="Normal"/>
    <w:link w:val="En-tteCar"/>
    <w:uiPriority w:val="99"/>
    <w:unhideWhenUsed/>
    <w:rsid w:val="00580F46"/>
    <w:pPr>
      <w:tabs>
        <w:tab w:val="center" w:pos="4536"/>
        <w:tab w:val="right" w:pos="9072"/>
      </w:tabs>
      <w:spacing w:line="240" w:lineRule="auto"/>
    </w:pPr>
  </w:style>
  <w:style w:type="character" w:customStyle="1" w:styleId="En-tteCar">
    <w:name w:val="En-tête Car"/>
    <w:basedOn w:val="Policepardfaut"/>
    <w:link w:val="En-tte"/>
    <w:uiPriority w:val="99"/>
    <w:rsid w:val="00580F46"/>
  </w:style>
  <w:style w:type="paragraph" w:styleId="Pieddepage">
    <w:name w:val="footer"/>
    <w:basedOn w:val="Normal"/>
    <w:link w:val="PieddepageCar"/>
    <w:uiPriority w:val="99"/>
    <w:unhideWhenUsed/>
    <w:rsid w:val="00580F46"/>
    <w:pPr>
      <w:tabs>
        <w:tab w:val="center" w:pos="4536"/>
        <w:tab w:val="right" w:pos="9072"/>
      </w:tabs>
      <w:spacing w:line="240" w:lineRule="auto"/>
    </w:pPr>
  </w:style>
  <w:style w:type="character" w:customStyle="1" w:styleId="PieddepageCar">
    <w:name w:val="Pied de page Car"/>
    <w:basedOn w:val="Policepardfaut"/>
    <w:link w:val="Pieddepage"/>
    <w:uiPriority w:val="99"/>
    <w:rsid w:val="00580F46"/>
  </w:style>
  <w:style w:type="character" w:styleId="lev">
    <w:name w:val="Strong"/>
    <w:basedOn w:val="Policepardfaut"/>
    <w:uiPriority w:val="22"/>
    <w:qFormat/>
    <w:rsid w:val="00991621"/>
    <w:rPr>
      <w:b/>
      <w:bCs/>
    </w:rPr>
  </w:style>
  <w:style w:type="paragraph" w:styleId="NormalWeb">
    <w:name w:val="Normal (Web)"/>
    <w:basedOn w:val="Normal"/>
    <w:uiPriority w:val="99"/>
    <w:semiHidden/>
    <w:unhideWhenUsed/>
    <w:rsid w:val="00991621"/>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6067">
      <w:bodyDiv w:val="1"/>
      <w:marLeft w:val="0"/>
      <w:marRight w:val="0"/>
      <w:marTop w:val="0"/>
      <w:marBottom w:val="0"/>
      <w:divBdr>
        <w:top w:val="none" w:sz="0" w:space="0" w:color="auto"/>
        <w:left w:val="none" w:sz="0" w:space="0" w:color="auto"/>
        <w:bottom w:val="none" w:sz="0" w:space="0" w:color="auto"/>
        <w:right w:val="none" w:sz="0" w:space="0" w:color="auto"/>
      </w:divBdr>
      <w:divsChild>
        <w:div w:id="761993316">
          <w:marLeft w:val="0"/>
          <w:marRight w:val="0"/>
          <w:marTop w:val="0"/>
          <w:marBottom w:val="0"/>
          <w:divBdr>
            <w:top w:val="none" w:sz="0" w:space="0" w:color="auto"/>
            <w:left w:val="none" w:sz="0" w:space="0" w:color="auto"/>
            <w:bottom w:val="none" w:sz="0" w:space="0" w:color="auto"/>
            <w:right w:val="none" w:sz="0" w:space="0" w:color="auto"/>
          </w:divBdr>
          <w:divsChild>
            <w:div w:id="1130319218">
              <w:marLeft w:val="0"/>
              <w:marRight w:val="0"/>
              <w:marTop w:val="0"/>
              <w:marBottom w:val="0"/>
              <w:divBdr>
                <w:top w:val="none" w:sz="0" w:space="0" w:color="auto"/>
                <w:left w:val="none" w:sz="0" w:space="0" w:color="auto"/>
                <w:bottom w:val="none" w:sz="0" w:space="0" w:color="auto"/>
                <w:right w:val="none" w:sz="0" w:space="0" w:color="auto"/>
              </w:divBdr>
              <w:divsChild>
                <w:div w:id="1666863185">
                  <w:marLeft w:val="0"/>
                  <w:marRight w:val="0"/>
                  <w:marTop w:val="0"/>
                  <w:marBottom w:val="0"/>
                  <w:divBdr>
                    <w:top w:val="none" w:sz="0" w:space="0" w:color="auto"/>
                    <w:left w:val="none" w:sz="0" w:space="0" w:color="auto"/>
                    <w:bottom w:val="none" w:sz="0" w:space="0" w:color="auto"/>
                    <w:right w:val="none" w:sz="0" w:space="0" w:color="auto"/>
                  </w:divBdr>
                  <w:divsChild>
                    <w:div w:id="25730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219581">
          <w:marLeft w:val="0"/>
          <w:marRight w:val="0"/>
          <w:marTop w:val="0"/>
          <w:marBottom w:val="0"/>
          <w:divBdr>
            <w:top w:val="none" w:sz="0" w:space="0" w:color="auto"/>
            <w:left w:val="none" w:sz="0" w:space="0" w:color="auto"/>
            <w:bottom w:val="none" w:sz="0" w:space="0" w:color="auto"/>
            <w:right w:val="none" w:sz="0" w:space="0" w:color="auto"/>
          </w:divBdr>
          <w:divsChild>
            <w:div w:id="159152977">
              <w:marLeft w:val="0"/>
              <w:marRight w:val="0"/>
              <w:marTop w:val="0"/>
              <w:marBottom w:val="0"/>
              <w:divBdr>
                <w:top w:val="none" w:sz="0" w:space="0" w:color="auto"/>
                <w:left w:val="none" w:sz="0" w:space="0" w:color="auto"/>
                <w:bottom w:val="none" w:sz="0" w:space="0" w:color="auto"/>
                <w:right w:val="none" w:sz="0" w:space="0" w:color="auto"/>
              </w:divBdr>
              <w:divsChild>
                <w:div w:id="1737626445">
                  <w:marLeft w:val="0"/>
                  <w:marRight w:val="0"/>
                  <w:marTop w:val="0"/>
                  <w:marBottom w:val="0"/>
                  <w:divBdr>
                    <w:top w:val="none" w:sz="0" w:space="0" w:color="auto"/>
                    <w:left w:val="none" w:sz="0" w:space="0" w:color="auto"/>
                    <w:bottom w:val="none" w:sz="0" w:space="0" w:color="auto"/>
                    <w:right w:val="none" w:sz="0" w:space="0" w:color="auto"/>
                  </w:divBdr>
                  <w:divsChild>
                    <w:div w:id="87786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6480">
      <w:bodyDiv w:val="1"/>
      <w:marLeft w:val="0"/>
      <w:marRight w:val="0"/>
      <w:marTop w:val="0"/>
      <w:marBottom w:val="0"/>
      <w:divBdr>
        <w:top w:val="none" w:sz="0" w:space="0" w:color="auto"/>
        <w:left w:val="none" w:sz="0" w:space="0" w:color="auto"/>
        <w:bottom w:val="none" w:sz="0" w:space="0" w:color="auto"/>
        <w:right w:val="none" w:sz="0" w:space="0" w:color="auto"/>
      </w:divBdr>
    </w:div>
    <w:div w:id="71662984">
      <w:bodyDiv w:val="1"/>
      <w:marLeft w:val="0"/>
      <w:marRight w:val="0"/>
      <w:marTop w:val="0"/>
      <w:marBottom w:val="0"/>
      <w:divBdr>
        <w:top w:val="none" w:sz="0" w:space="0" w:color="auto"/>
        <w:left w:val="none" w:sz="0" w:space="0" w:color="auto"/>
        <w:bottom w:val="none" w:sz="0" w:space="0" w:color="auto"/>
        <w:right w:val="none" w:sz="0" w:space="0" w:color="auto"/>
      </w:divBdr>
    </w:div>
    <w:div w:id="88892937">
      <w:bodyDiv w:val="1"/>
      <w:marLeft w:val="0"/>
      <w:marRight w:val="0"/>
      <w:marTop w:val="0"/>
      <w:marBottom w:val="0"/>
      <w:divBdr>
        <w:top w:val="none" w:sz="0" w:space="0" w:color="auto"/>
        <w:left w:val="none" w:sz="0" w:space="0" w:color="auto"/>
        <w:bottom w:val="none" w:sz="0" w:space="0" w:color="auto"/>
        <w:right w:val="none" w:sz="0" w:space="0" w:color="auto"/>
      </w:divBdr>
    </w:div>
    <w:div w:id="240071149">
      <w:bodyDiv w:val="1"/>
      <w:marLeft w:val="0"/>
      <w:marRight w:val="0"/>
      <w:marTop w:val="0"/>
      <w:marBottom w:val="0"/>
      <w:divBdr>
        <w:top w:val="none" w:sz="0" w:space="0" w:color="auto"/>
        <w:left w:val="none" w:sz="0" w:space="0" w:color="auto"/>
        <w:bottom w:val="none" w:sz="0" w:space="0" w:color="auto"/>
        <w:right w:val="none" w:sz="0" w:space="0" w:color="auto"/>
      </w:divBdr>
    </w:div>
    <w:div w:id="279385107">
      <w:bodyDiv w:val="1"/>
      <w:marLeft w:val="0"/>
      <w:marRight w:val="0"/>
      <w:marTop w:val="0"/>
      <w:marBottom w:val="0"/>
      <w:divBdr>
        <w:top w:val="none" w:sz="0" w:space="0" w:color="auto"/>
        <w:left w:val="none" w:sz="0" w:space="0" w:color="auto"/>
        <w:bottom w:val="none" w:sz="0" w:space="0" w:color="auto"/>
        <w:right w:val="none" w:sz="0" w:space="0" w:color="auto"/>
      </w:divBdr>
    </w:div>
    <w:div w:id="283080568">
      <w:bodyDiv w:val="1"/>
      <w:marLeft w:val="0"/>
      <w:marRight w:val="0"/>
      <w:marTop w:val="0"/>
      <w:marBottom w:val="0"/>
      <w:divBdr>
        <w:top w:val="none" w:sz="0" w:space="0" w:color="auto"/>
        <w:left w:val="none" w:sz="0" w:space="0" w:color="auto"/>
        <w:bottom w:val="none" w:sz="0" w:space="0" w:color="auto"/>
        <w:right w:val="none" w:sz="0" w:space="0" w:color="auto"/>
      </w:divBdr>
    </w:div>
    <w:div w:id="317619047">
      <w:bodyDiv w:val="1"/>
      <w:marLeft w:val="0"/>
      <w:marRight w:val="0"/>
      <w:marTop w:val="0"/>
      <w:marBottom w:val="0"/>
      <w:divBdr>
        <w:top w:val="none" w:sz="0" w:space="0" w:color="auto"/>
        <w:left w:val="none" w:sz="0" w:space="0" w:color="auto"/>
        <w:bottom w:val="none" w:sz="0" w:space="0" w:color="auto"/>
        <w:right w:val="none" w:sz="0" w:space="0" w:color="auto"/>
      </w:divBdr>
    </w:div>
    <w:div w:id="336887575">
      <w:bodyDiv w:val="1"/>
      <w:marLeft w:val="0"/>
      <w:marRight w:val="0"/>
      <w:marTop w:val="0"/>
      <w:marBottom w:val="0"/>
      <w:divBdr>
        <w:top w:val="none" w:sz="0" w:space="0" w:color="auto"/>
        <w:left w:val="none" w:sz="0" w:space="0" w:color="auto"/>
        <w:bottom w:val="none" w:sz="0" w:space="0" w:color="auto"/>
        <w:right w:val="none" w:sz="0" w:space="0" w:color="auto"/>
      </w:divBdr>
    </w:div>
    <w:div w:id="386532742">
      <w:bodyDiv w:val="1"/>
      <w:marLeft w:val="0"/>
      <w:marRight w:val="0"/>
      <w:marTop w:val="0"/>
      <w:marBottom w:val="0"/>
      <w:divBdr>
        <w:top w:val="none" w:sz="0" w:space="0" w:color="auto"/>
        <w:left w:val="none" w:sz="0" w:space="0" w:color="auto"/>
        <w:bottom w:val="none" w:sz="0" w:space="0" w:color="auto"/>
        <w:right w:val="none" w:sz="0" w:space="0" w:color="auto"/>
      </w:divBdr>
    </w:div>
    <w:div w:id="564141570">
      <w:bodyDiv w:val="1"/>
      <w:marLeft w:val="0"/>
      <w:marRight w:val="0"/>
      <w:marTop w:val="0"/>
      <w:marBottom w:val="0"/>
      <w:divBdr>
        <w:top w:val="none" w:sz="0" w:space="0" w:color="auto"/>
        <w:left w:val="none" w:sz="0" w:space="0" w:color="auto"/>
        <w:bottom w:val="none" w:sz="0" w:space="0" w:color="auto"/>
        <w:right w:val="none" w:sz="0" w:space="0" w:color="auto"/>
      </w:divBdr>
    </w:div>
    <w:div w:id="630134162">
      <w:bodyDiv w:val="1"/>
      <w:marLeft w:val="0"/>
      <w:marRight w:val="0"/>
      <w:marTop w:val="0"/>
      <w:marBottom w:val="0"/>
      <w:divBdr>
        <w:top w:val="none" w:sz="0" w:space="0" w:color="auto"/>
        <w:left w:val="none" w:sz="0" w:space="0" w:color="auto"/>
        <w:bottom w:val="none" w:sz="0" w:space="0" w:color="auto"/>
        <w:right w:val="none" w:sz="0" w:space="0" w:color="auto"/>
      </w:divBdr>
    </w:div>
    <w:div w:id="632751664">
      <w:bodyDiv w:val="1"/>
      <w:marLeft w:val="0"/>
      <w:marRight w:val="0"/>
      <w:marTop w:val="0"/>
      <w:marBottom w:val="0"/>
      <w:divBdr>
        <w:top w:val="none" w:sz="0" w:space="0" w:color="auto"/>
        <w:left w:val="none" w:sz="0" w:space="0" w:color="auto"/>
        <w:bottom w:val="none" w:sz="0" w:space="0" w:color="auto"/>
        <w:right w:val="none" w:sz="0" w:space="0" w:color="auto"/>
      </w:divBdr>
    </w:div>
    <w:div w:id="640384897">
      <w:bodyDiv w:val="1"/>
      <w:marLeft w:val="0"/>
      <w:marRight w:val="0"/>
      <w:marTop w:val="0"/>
      <w:marBottom w:val="0"/>
      <w:divBdr>
        <w:top w:val="none" w:sz="0" w:space="0" w:color="auto"/>
        <w:left w:val="none" w:sz="0" w:space="0" w:color="auto"/>
        <w:bottom w:val="none" w:sz="0" w:space="0" w:color="auto"/>
        <w:right w:val="none" w:sz="0" w:space="0" w:color="auto"/>
      </w:divBdr>
    </w:div>
    <w:div w:id="775103974">
      <w:bodyDiv w:val="1"/>
      <w:marLeft w:val="0"/>
      <w:marRight w:val="0"/>
      <w:marTop w:val="0"/>
      <w:marBottom w:val="0"/>
      <w:divBdr>
        <w:top w:val="none" w:sz="0" w:space="0" w:color="auto"/>
        <w:left w:val="none" w:sz="0" w:space="0" w:color="auto"/>
        <w:bottom w:val="none" w:sz="0" w:space="0" w:color="auto"/>
        <w:right w:val="none" w:sz="0" w:space="0" w:color="auto"/>
      </w:divBdr>
    </w:div>
    <w:div w:id="796489332">
      <w:bodyDiv w:val="1"/>
      <w:marLeft w:val="0"/>
      <w:marRight w:val="0"/>
      <w:marTop w:val="0"/>
      <w:marBottom w:val="0"/>
      <w:divBdr>
        <w:top w:val="none" w:sz="0" w:space="0" w:color="auto"/>
        <w:left w:val="none" w:sz="0" w:space="0" w:color="auto"/>
        <w:bottom w:val="none" w:sz="0" w:space="0" w:color="auto"/>
        <w:right w:val="none" w:sz="0" w:space="0" w:color="auto"/>
      </w:divBdr>
    </w:div>
    <w:div w:id="810944066">
      <w:bodyDiv w:val="1"/>
      <w:marLeft w:val="0"/>
      <w:marRight w:val="0"/>
      <w:marTop w:val="0"/>
      <w:marBottom w:val="0"/>
      <w:divBdr>
        <w:top w:val="none" w:sz="0" w:space="0" w:color="auto"/>
        <w:left w:val="none" w:sz="0" w:space="0" w:color="auto"/>
        <w:bottom w:val="none" w:sz="0" w:space="0" w:color="auto"/>
        <w:right w:val="none" w:sz="0" w:space="0" w:color="auto"/>
      </w:divBdr>
    </w:div>
    <w:div w:id="818615771">
      <w:bodyDiv w:val="1"/>
      <w:marLeft w:val="0"/>
      <w:marRight w:val="0"/>
      <w:marTop w:val="0"/>
      <w:marBottom w:val="0"/>
      <w:divBdr>
        <w:top w:val="none" w:sz="0" w:space="0" w:color="auto"/>
        <w:left w:val="none" w:sz="0" w:space="0" w:color="auto"/>
        <w:bottom w:val="none" w:sz="0" w:space="0" w:color="auto"/>
        <w:right w:val="none" w:sz="0" w:space="0" w:color="auto"/>
      </w:divBdr>
    </w:div>
    <w:div w:id="857893772">
      <w:bodyDiv w:val="1"/>
      <w:marLeft w:val="0"/>
      <w:marRight w:val="0"/>
      <w:marTop w:val="0"/>
      <w:marBottom w:val="0"/>
      <w:divBdr>
        <w:top w:val="none" w:sz="0" w:space="0" w:color="auto"/>
        <w:left w:val="none" w:sz="0" w:space="0" w:color="auto"/>
        <w:bottom w:val="none" w:sz="0" w:space="0" w:color="auto"/>
        <w:right w:val="none" w:sz="0" w:space="0" w:color="auto"/>
      </w:divBdr>
    </w:div>
    <w:div w:id="859897924">
      <w:bodyDiv w:val="1"/>
      <w:marLeft w:val="0"/>
      <w:marRight w:val="0"/>
      <w:marTop w:val="0"/>
      <w:marBottom w:val="0"/>
      <w:divBdr>
        <w:top w:val="none" w:sz="0" w:space="0" w:color="auto"/>
        <w:left w:val="none" w:sz="0" w:space="0" w:color="auto"/>
        <w:bottom w:val="none" w:sz="0" w:space="0" w:color="auto"/>
        <w:right w:val="none" w:sz="0" w:space="0" w:color="auto"/>
      </w:divBdr>
    </w:div>
    <w:div w:id="1004625974">
      <w:bodyDiv w:val="1"/>
      <w:marLeft w:val="0"/>
      <w:marRight w:val="0"/>
      <w:marTop w:val="0"/>
      <w:marBottom w:val="0"/>
      <w:divBdr>
        <w:top w:val="none" w:sz="0" w:space="0" w:color="auto"/>
        <w:left w:val="none" w:sz="0" w:space="0" w:color="auto"/>
        <w:bottom w:val="none" w:sz="0" w:space="0" w:color="auto"/>
        <w:right w:val="none" w:sz="0" w:space="0" w:color="auto"/>
      </w:divBdr>
    </w:div>
    <w:div w:id="1158034334">
      <w:bodyDiv w:val="1"/>
      <w:marLeft w:val="0"/>
      <w:marRight w:val="0"/>
      <w:marTop w:val="0"/>
      <w:marBottom w:val="0"/>
      <w:divBdr>
        <w:top w:val="none" w:sz="0" w:space="0" w:color="auto"/>
        <w:left w:val="none" w:sz="0" w:space="0" w:color="auto"/>
        <w:bottom w:val="none" w:sz="0" w:space="0" w:color="auto"/>
        <w:right w:val="none" w:sz="0" w:space="0" w:color="auto"/>
      </w:divBdr>
      <w:divsChild>
        <w:div w:id="1818260093">
          <w:marLeft w:val="0"/>
          <w:marRight w:val="0"/>
          <w:marTop w:val="0"/>
          <w:marBottom w:val="0"/>
          <w:divBdr>
            <w:top w:val="none" w:sz="0" w:space="0" w:color="auto"/>
            <w:left w:val="none" w:sz="0" w:space="0" w:color="auto"/>
            <w:bottom w:val="none" w:sz="0" w:space="0" w:color="auto"/>
            <w:right w:val="none" w:sz="0" w:space="0" w:color="auto"/>
          </w:divBdr>
          <w:divsChild>
            <w:div w:id="1643388713">
              <w:marLeft w:val="0"/>
              <w:marRight w:val="0"/>
              <w:marTop w:val="0"/>
              <w:marBottom w:val="0"/>
              <w:divBdr>
                <w:top w:val="none" w:sz="0" w:space="0" w:color="auto"/>
                <w:left w:val="none" w:sz="0" w:space="0" w:color="auto"/>
                <w:bottom w:val="none" w:sz="0" w:space="0" w:color="auto"/>
                <w:right w:val="none" w:sz="0" w:space="0" w:color="auto"/>
              </w:divBdr>
              <w:divsChild>
                <w:div w:id="858738089">
                  <w:marLeft w:val="0"/>
                  <w:marRight w:val="0"/>
                  <w:marTop w:val="0"/>
                  <w:marBottom w:val="0"/>
                  <w:divBdr>
                    <w:top w:val="none" w:sz="0" w:space="0" w:color="auto"/>
                    <w:left w:val="none" w:sz="0" w:space="0" w:color="auto"/>
                    <w:bottom w:val="none" w:sz="0" w:space="0" w:color="auto"/>
                    <w:right w:val="none" w:sz="0" w:space="0" w:color="auto"/>
                  </w:divBdr>
                  <w:divsChild>
                    <w:div w:id="1268856340">
                      <w:marLeft w:val="0"/>
                      <w:marRight w:val="0"/>
                      <w:marTop w:val="0"/>
                      <w:marBottom w:val="0"/>
                      <w:divBdr>
                        <w:top w:val="none" w:sz="0" w:space="0" w:color="auto"/>
                        <w:left w:val="none" w:sz="0" w:space="0" w:color="auto"/>
                        <w:bottom w:val="none" w:sz="0" w:space="0" w:color="auto"/>
                        <w:right w:val="none" w:sz="0" w:space="0" w:color="auto"/>
                      </w:divBdr>
                      <w:divsChild>
                        <w:div w:id="1944995790">
                          <w:marLeft w:val="0"/>
                          <w:marRight w:val="0"/>
                          <w:marTop w:val="0"/>
                          <w:marBottom w:val="0"/>
                          <w:divBdr>
                            <w:top w:val="none" w:sz="0" w:space="0" w:color="auto"/>
                            <w:left w:val="none" w:sz="0" w:space="0" w:color="auto"/>
                            <w:bottom w:val="none" w:sz="0" w:space="0" w:color="auto"/>
                            <w:right w:val="none" w:sz="0" w:space="0" w:color="auto"/>
                          </w:divBdr>
                          <w:divsChild>
                            <w:div w:id="117114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9661965">
      <w:bodyDiv w:val="1"/>
      <w:marLeft w:val="0"/>
      <w:marRight w:val="0"/>
      <w:marTop w:val="0"/>
      <w:marBottom w:val="0"/>
      <w:divBdr>
        <w:top w:val="none" w:sz="0" w:space="0" w:color="auto"/>
        <w:left w:val="none" w:sz="0" w:space="0" w:color="auto"/>
        <w:bottom w:val="none" w:sz="0" w:space="0" w:color="auto"/>
        <w:right w:val="none" w:sz="0" w:space="0" w:color="auto"/>
      </w:divBdr>
    </w:div>
    <w:div w:id="1188713406">
      <w:bodyDiv w:val="1"/>
      <w:marLeft w:val="0"/>
      <w:marRight w:val="0"/>
      <w:marTop w:val="0"/>
      <w:marBottom w:val="0"/>
      <w:divBdr>
        <w:top w:val="none" w:sz="0" w:space="0" w:color="auto"/>
        <w:left w:val="none" w:sz="0" w:space="0" w:color="auto"/>
        <w:bottom w:val="none" w:sz="0" w:space="0" w:color="auto"/>
        <w:right w:val="none" w:sz="0" w:space="0" w:color="auto"/>
      </w:divBdr>
    </w:div>
    <w:div w:id="1236234490">
      <w:bodyDiv w:val="1"/>
      <w:marLeft w:val="0"/>
      <w:marRight w:val="0"/>
      <w:marTop w:val="0"/>
      <w:marBottom w:val="0"/>
      <w:divBdr>
        <w:top w:val="none" w:sz="0" w:space="0" w:color="auto"/>
        <w:left w:val="none" w:sz="0" w:space="0" w:color="auto"/>
        <w:bottom w:val="none" w:sz="0" w:space="0" w:color="auto"/>
        <w:right w:val="none" w:sz="0" w:space="0" w:color="auto"/>
      </w:divBdr>
    </w:div>
    <w:div w:id="1287734118">
      <w:bodyDiv w:val="1"/>
      <w:marLeft w:val="0"/>
      <w:marRight w:val="0"/>
      <w:marTop w:val="0"/>
      <w:marBottom w:val="0"/>
      <w:divBdr>
        <w:top w:val="none" w:sz="0" w:space="0" w:color="auto"/>
        <w:left w:val="none" w:sz="0" w:space="0" w:color="auto"/>
        <w:bottom w:val="none" w:sz="0" w:space="0" w:color="auto"/>
        <w:right w:val="none" w:sz="0" w:space="0" w:color="auto"/>
      </w:divBdr>
    </w:div>
    <w:div w:id="1304700581">
      <w:bodyDiv w:val="1"/>
      <w:marLeft w:val="0"/>
      <w:marRight w:val="0"/>
      <w:marTop w:val="0"/>
      <w:marBottom w:val="0"/>
      <w:divBdr>
        <w:top w:val="none" w:sz="0" w:space="0" w:color="auto"/>
        <w:left w:val="none" w:sz="0" w:space="0" w:color="auto"/>
        <w:bottom w:val="none" w:sz="0" w:space="0" w:color="auto"/>
        <w:right w:val="none" w:sz="0" w:space="0" w:color="auto"/>
      </w:divBdr>
      <w:divsChild>
        <w:div w:id="310401317">
          <w:marLeft w:val="0"/>
          <w:marRight w:val="0"/>
          <w:marTop w:val="0"/>
          <w:marBottom w:val="0"/>
          <w:divBdr>
            <w:top w:val="none" w:sz="0" w:space="0" w:color="auto"/>
            <w:left w:val="none" w:sz="0" w:space="0" w:color="auto"/>
            <w:bottom w:val="none" w:sz="0" w:space="0" w:color="auto"/>
            <w:right w:val="none" w:sz="0" w:space="0" w:color="auto"/>
          </w:divBdr>
          <w:divsChild>
            <w:div w:id="773863979">
              <w:marLeft w:val="0"/>
              <w:marRight w:val="0"/>
              <w:marTop w:val="0"/>
              <w:marBottom w:val="0"/>
              <w:divBdr>
                <w:top w:val="none" w:sz="0" w:space="0" w:color="auto"/>
                <w:left w:val="none" w:sz="0" w:space="0" w:color="auto"/>
                <w:bottom w:val="none" w:sz="0" w:space="0" w:color="auto"/>
                <w:right w:val="none" w:sz="0" w:space="0" w:color="auto"/>
              </w:divBdr>
              <w:divsChild>
                <w:div w:id="1120997255">
                  <w:marLeft w:val="0"/>
                  <w:marRight w:val="0"/>
                  <w:marTop w:val="0"/>
                  <w:marBottom w:val="0"/>
                  <w:divBdr>
                    <w:top w:val="none" w:sz="0" w:space="0" w:color="auto"/>
                    <w:left w:val="none" w:sz="0" w:space="0" w:color="auto"/>
                    <w:bottom w:val="none" w:sz="0" w:space="0" w:color="auto"/>
                    <w:right w:val="none" w:sz="0" w:space="0" w:color="auto"/>
                  </w:divBdr>
                  <w:divsChild>
                    <w:div w:id="62161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617092">
          <w:marLeft w:val="0"/>
          <w:marRight w:val="0"/>
          <w:marTop w:val="0"/>
          <w:marBottom w:val="0"/>
          <w:divBdr>
            <w:top w:val="none" w:sz="0" w:space="0" w:color="auto"/>
            <w:left w:val="none" w:sz="0" w:space="0" w:color="auto"/>
            <w:bottom w:val="none" w:sz="0" w:space="0" w:color="auto"/>
            <w:right w:val="none" w:sz="0" w:space="0" w:color="auto"/>
          </w:divBdr>
          <w:divsChild>
            <w:div w:id="963271206">
              <w:marLeft w:val="0"/>
              <w:marRight w:val="0"/>
              <w:marTop w:val="0"/>
              <w:marBottom w:val="0"/>
              <w:divBdr>
                <w:top w:val="none" w:sz="0" w:space="0" w:color="auto"/>
                <w:left w:val="none" w:sz="0" w:space="0" w:color="auto"/>
                <w:bottom w:val="none" w:sz="0" w:space="0" w:color="auto"/>
                <w:right w:val="none" w:sz="0" w:space="0" w:color="auto"/>
              </w:divBdr>
              <w:divsChild>
                <w:div w:id="1837722429">
                  <w:marLeft w:val="0"/>
                  <w:marRight w:val="0"/>
                  <w:marTop w:val="0"/>
                  <w:marBottom w:val="0"/>
                  <w:divBdr>
                    <w:top w:val="none" w:sz="0" w:space="0" w:color="auto"/>
                    <w:left w:val="none" w:sz="0" w:space="0" w:color="auto"/>
                    <w:bottom w:val="none" w:sz="0" w:space="0" w:color="auto"/>
                    <w:right w:val="none" w:sz="0" w:space="0" w:color="auto"/>
                  </w:divBdr>
                  <w:divsChild>
                    <w:div w:id="20598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6280531">
      <w:bodyDiv w:val="1"/>
      <w:marLeft w:val="0"/>
      <w:marRight w:val="0"/>
      <w:marTop w:val="0"/>
      <w:marBottom w:val="0"/>
      <w:divBdr>
        <w:top w:val="none" w:sz="0" w:space="0" w:color="auto"/>
        <w:left w:val="none" w:sz="0" w:space="0" w:color="auto"/>
        <w:bottom w:val="none" w:sz="0" w:space="0" w:color="auto"/>
        <w:right w:val="none" w:sz="0" w:space="0" w:color="auto"/>
      </w:divBdr>
    </w:div>
    <w:div w:id="1345089537">
      <w:bodyDiv w:val="1"/>
      <w:marLeft w:val="0"/>
      <w:marRight w:val="0"/>
      <w:marTop w:val="0"/>
      <w:marBottom w:val="0"/>
      <w:divBdr>
        <w:top w:val="none" w:sz="0" w:space="0" w:color="auto"/>
        <w:left w:val="none" w:sz="0" w:space="0" w:color="auto"/>
        <w:bottom w:val="none" w:sz="0" w:space="0" w:color="auto"/>
        <w:right w:val="none" w:sz="0" w:space="0" w:color="auto"/>
      </w:divBdr>
      <w:divsChild>
        <w:div w:id="12657628">
          <w:marLeft w:val="0"/>
          <w:marRight w:val="0"/>
          <w:marTop w:val="0"/>
          <w:marBottom w:val="0"/>
          <w:divBdr>
            <w:top w:val="none" w:sz="0" w:space="0" w:color="auto"/>
            <w:left w:val="none" w:sz="0" w:space="0" w:color="auto"/>
            <w:bottom w:val="none" w:sz="0" w:space="0" w:color="auto"/>
            <w:right w:val="none" w:sz="0" w:space="0" w:color="auto"/>
          </w:divBdr>
          <w:divsChild>
            <w:div w:id="1729576347">
              <w:marLeft w:val="0"/>
              <w:marRight w:val="0"/>
              <w:marTop w:val="0"/>
              <w:marBottom w:val="0"/>
              <w:divBdr>
                <w:top w:val="none" w:sz="0" w:space="0" w:color="auto"/>
                <w:left w:val="none" w:sz="0" w:space="0" w:color="auto"/>
                <w:bottom w:val="none" w:sz="0" w:space="0" w:color="auto"/>
                <w:right w:val="none" w:sz="0" w:space="0" w:color="auto"/>
              </w:divBdr>
              <w:divsChild>
                <w:div w:id="606735263">
                  <w:marLeft w:val="0"/>
                  <w:marRight w:val="0"/>
                  <w:marTop w:val="0"/>
                  <w:marBottom w:val="0"/>
                  <w:divBdr>
                    <w:top w:val="none" w:sz="0" w:space="0" w:color="auto"/>
                    <w:left w:val="none" w:sz="0" w:space="0" w:color="auto"/>
                    <w:bottom w:val="none" w:sz="0" w:space="0" w:color="auto"/>
                    <w:right w:val="none" w:sz="0" w:space="0" w:color="auto"/>
                  </w:divBdr>
                  <w:divsChild>
                    <w:div w:id="744256651">
                      <w:marLeft w:val="0"/>
                      <w:marRight w:val="0"/>
                      <w:marTop w:val="0"/>
                      <w:marBottom w:val="0"/>
                      <w:divBdr>
                        <w:top w:val="none" w:sz="0" w:space="0" w:color="auto"/>
                        <w:left w:val="none" w:sz="0" w:space="0" w:color="auto"/>
                        <w:bottom w:val="none" w:sz="0" w:space="0" w:color="auto"/>
                        <w:right w:val="none" w:sz="0" w:space="0" w:color="auto"/>
                      </w:divBdr>
                      <w:divsChild>
                        <w:div w:id="1717467539">
                          <w:marLeft w:val="0"/>
                          <w:marRight w:val="0"/>
                          <w:marTop w:val="0"/>
                          <w:marBottom w:val="0"/>
                          <w:divBdr>
                            <w:top w:val="none" w:sz="0" w:space="0" w:color="auto"/>
                            <w:left w:val="none" w:sz="0" w:space="0" w:color="auto"/>
                            <w:bottom w:val="none" w:sz="0" w:space="0" w:color="auto"/>
                            <w:right w:val="none" w:sz="0" w:space="0" w:color="auto"/>
                          </w:divBdr>
                          <w:divsChild>
                            <w:div w:id="211374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8629891">
      <w:bodyDiv w:val="1"/>
      <w:marLeft w:val="0"/>
      <w:marRight w:val="0"/>
      <w:marTop w:val="0"/>
      <w:marBottom w:val="0"/>
      <w:divBdr>
        <w:top w:val="none" w:sz="0" w:space="0" w:color="auto"/>
        <w:left w:val="none" w:sz="0" w:space="0" w:color="auto"/>
        <w:bottom w:val="none" w:sz="0" w:space="0" w:color="auto"/>
        <w:right w:val="none" w:sz="0" w:space="0" w:color="auto"/>
      </w:divBdr>
    </w:div>
    <w:div w:id="1414350505">
      <w:bodyDiv w:val="1"/>
      <w:marLeft w:val="0"/>
      <w:marRight w:val="0"/>
      <w:marTop w:val="0"/>
      <w:marBottom w:val="0"/>
      <w:divBdr>
        <w:top w:val="none" w:sz="0" w:space="0" w:color="auto"/>
        <w:left w:val="none" w:sz="0" w:space="0" w:color="auto"/>
        <w:bottom w:val="none" w:sz="0" w:space="0" w:color="auto"/>
        <w:right w:val="none" w:sz="0" w:space="0" w:color="auto"/>
      </w:divBdr>
    </w:div>
    <w:div w:id="1501238454">
      <w:bodyDiv w:val="1"/>
      <w:marLeft w:val="0"/>
      <w:marRight w:val="0"/>
      <w:marTop w:val="0"/>
      <w:marBottom w:val="0"/>
      <w:divBdr>
        <w:top w:val="none" w:sz="0" w:space="0" w:color="auto"/>
        <w:left w:val="none" w:sz="0" w:space="0" w:color="auto"/>
        <w:bottom w:val="none" w:sz="0" w:space="0" w:color="auto"/>
        <w:right w:val="none" w:sz="0" w:space="0" w:color="auto"/>
      </w:divBdr>
    </w:div>
    <w:div w:id="1521042479">
      <w:bodyDiv w:val="1"/>
      <w:marLeft w:val="0"/>
      <w:marRight w:val="0"/>
      <w:marTop w:val="0"/>
      <w:marBottom w:val="0"/>
      <w:divBdr>
        <w:top w:val="none" w:sz="0" w:space="0" w:color="auto"/>
        <w:left w:val="none" w:sz="0" w:space="0" w:color="auto"/>
        <w:bottom w:val="none" w:sz="0" w:space="0" w:color="auto"/>
        <w:right w:val="none" w:sz="0" w:space="0" w:color="auto"/>
      </w:divBdr>
    </w:div>
    <w:div w:id="1556309916">
      <w:bodyDiv w:val="1"/>
      <w:marLeft w:val="0"/>
      <w:marRight w:val="0"/>
      <w:marTop w:val="0"/>
      <w:marBottom w:val="0"/>
      <w:divBdr>
        <w:top w:val="none" w:sz="0" w:space="0" w:color="auto"/>
        <w:left w:val="none" w:sz="0" w:space="0" w:color="auto"/>
        <w:bottom w:val="none" w:sz="0" w:space="0" w:color="auto"/>
        <w:right w:val="none" w:sz="0" w:space="0" w:color="auto"/>
      </w:divBdr>
    </w:div>
    <w:div w:id="1558512207">
      <w:bodyDiv w:val="1"/>
      <w:marLeft w:val="0"/>
      <w:marRight w:val="0"/>
      <w:marTop w:val="0"/>
      <w:marBottom w:val="0"/>
      <w:divBdr>
        <w:top w:val="none" w:sz="0" w:space="0" w:color="auto"/>
        <w:left w:val="none" w:sz="0" w:space="0" w:color="auto"/>
        <w:bottom w:val="none" w:sz="0" w:space="0" w:color="auto"/>
        <w:right w:val="none" w:sz="0" w:space="0" w:color="auto"/>
      </w:divBdr>
    </w:div>
    <w:div w:id="1581141550">
      <w:bodyDiv w:val="1"/>
      <w:marLeft w:val="0"/>
      <w:marRight w:val="0"/>
      <w:marTop w:val="0"/>
      <w:marBottom w:val="0"/>
      <w:divBdr>
        <w:top w:val="none" w:sz="0" w:space="0" w:color="auto"/>
        <w:left w:val="none" w:sz="0" w:space="0" w:color="auto"/>
        <w:bottom w:val="none" w:sz="0" w:space="0" w:color="auto"/>
        <w:right w:val="none" w:sz="0" w:space="0" w:color="auto"/>
      </w:divBdr>
    </w:div>
    <w:div w:id="1601330568">
      <w:bodyDiv w:val="1"/>
      <w:marLeft w:val="0"/>
      <w:marRight w:val="0"/>
      <w:marTop w:val="0"/>
      <w:marBottom w:val="0"/>
      <w:divBdr>
        <w:top w:val="none" w:sz="0" w:space="0" w:color="auto"/>
        <w:left w:val="none" w:sz="0" w:space="0" w:color="auto"/>
        <w:bottom w:val="none" w:sz="0" w:space="0" w:color="auto"/>
        <w:right w:val="none" w:sz="0" w:space="0" w:color="auto"/>
      </w:divBdr>
    </w:div>
    <w:div w:id="1813670957">
      <w:bodyDiv w:val="1"/>
      <w:marLeft w:val="0"/>
      <w:marRight w:val="0"/>
      <w:marTop w:val="0"/>
      <w:marBottom w:val="0"/>
      <w:divBdr>
        <w:top w:val="none" w:sz="0" w:space="0" w:color="auto"/>
        <w:left w:val="none" w:sz="0" w:space="0" w:color="auto"/>
        <w:bottom w:val="none" w:sz="0" w:space="0" w:color="auto"/>
        <w:right w:val="none" w:sz="0" w:space="0" w:color="auto"/>
      </w:divBdr>
    </w:div>
    <w:div w:id="1922712343">
      <w:bodyDiv w:val="1"/>
      <w:marLeft w:val="0"/>
      <w:marRight w:val="0"/>
      <w:marTop w:val="0"/>
      <w:marBottom w:val="0"/>
      <w:divBdr>
        <w:top w:val="none" w:sz="0" w:space="0" w:color="auto"/>
        <w:left w:val="none" w:sz="0" w:space="0" w:color="auto"/>
        <w:bottom w:val="none" w:sz="0" w:space="0" w:color="auto"/>
        <w:right w:val="none" w:sz="0" w:space="0" w:color="auto"/>
      </w:divBdr>
    </w:div>
    <w:div w:id="2024621523">
      <w:bodyDiv w:val="1"/>
      <w:marLeft w:val="0"/>
      <w:marRight w:val="0"/>
      <w:marTop w:val="0"/>
      <w:marBottom w:val="0"/>
      <w:divBdr>
        <w:top w:val="none" w:sz="0" w:space="0" w:color="auto"/>
        <w:left w:val="none" w:sz="0" w:space="0" w:color="auto"/>
        <w:bottom w:val="none" w:sz="0" w:space="0" w:color="auto"/>
        <w:right w:val="none" w:sz="0" w:space="0" w:color="auto"/>
      </w:divBdr>
    </w:div>
    <w:div w:id="2076080540">
      <w:bodyDiv w:val="1"/>
      <w:marLeft w:val="0"/>
      <w:marRight w:val="0"/>
      <w:marTop w:val="0"/>
      <w:marBottom w:val="0"/>
      <w:divBdr>
        <w:top w:val="none" w:sz="0" w:space="0" w:color="auto"/>
        <w:left w:val="none" w:sz="0" w:space="0" w:color="auto"/>
        <w:bottom w:val="none" w:sz="0" w:space="0" w:color="auto"/>
        <w:right w:val="none" w:sz="0" w:space="0" w:color="auto"/>
      </w:divBdr>
    </w:div>
    <w:div w:id="2091004461">
      <w:bodyDiv w:val="1"/>
      <w:marLeft w:val="0"/>
      <w:marRight w:val="0"/>
      <w:marTop w:val="0"/>
      <w:marBottom w:val="0"/>
      <w:divBdr>
        <w:top w:val="none" w:sz="0" w:space="0" w:color="auto"/>
        <w:left w:val="none" w:sz="0" w:space="0" w:color="auto"/>
        <w:bottom w:val="none" w:sz="0" w:space="0" w:color="auto"/>
        <w:right w:val="none" w:sz="0" w:space="0" w:color="auto"/>
      </w:divBdr>
      <w:divsChild>
        <w:div w:id="1651248377">
          <w:marLeft w:val="0"/>
          <w:marRight w:val="0"/>
          <w:marTop w:val="0"/>
          <w:marBottom w:val="0"/>
          <w:divBdr>
            <w:top w:val="none" w:sz="0" w:space="0" w:color="auto"/>
            <w:left w:val="none" w:sz="0" w:space="0" w:color="auto"/>
            <w:bottom w:val="none" w:sz="0" w:space="0" w:color="auto"/>
            <w:right w:val="none" w:sz="0" w:space="0" w:color="auto"/>
          </w:divBdr>
        </w:div>
        <w:div w:id="1159005851">
          <w:marLeft w:val="0"/>
          <w:marRight w:val="0"/>
          <w:marTop w:val="0"/>
          <w:marBottom w:val="0"/>
          <w:divBdr>
            <w:top w:val="none" w:sz="0" w:space="0" w:color="auto"/>
            <w:left w:val="none" w:sz="0" w:space="0" w:color="auto"/>
            <w:bottom w:val="none" w:sz="0" w:space="0" w:color="auto"/>
            <w:right w:val="none" w:sz="0" w:space="0" w:color="auto"/>
          </w:divBdr>
        </w:div>
      </w:divsChild>
    </w:div>
    <w:div w:id="2111317536">
      <w:bodyDiv w:val="1"/>
      <w:marLeft w:val="0"/>
      <w:marRight w:val="0"/>
      <w:marTop w:val="0"/>
      <w:marBottom w:val="0"/>
      <w:divBdr>
        <w:top w:val="none" w:sz="0" w:space="0" w:color="auto"/>
        <w:left w:val="none" w:sz="0" w:space="0" w:color="auto"/>
        <w:bottom w:val="none" w:sz="0" w:space="0" w:color="auto"/>
        <w:right w:val="none" w:sz="0" w:space="0" w:color="auto"/>
      </w:divBdr>
    </w:div>
    <w:div w:id="2140680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piloter.org/gouvernance/index.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808</Words>
  <Characters>4450</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Georges Cherry</dc:creator>
  <cp:keywords/>
  <dc:description/>
  <cp:lastModifiedBy>Georges Cherry</cp:lastModifiedBy>
  <cp:revision>4</cp:revision>
  <cp:lastPrinted>2024-10-21T07:08:00Z</cp:lastPrinted>
  <dcterms:created xsi:type="dcterms:W3CDTF">2024-11-16T11:32:00Z</dcterms:created>
  <dcterms:modified xsi:type="dcterms:W3CDTF">2026-10-19T06:25:00Z</dcterms:modified>
</cp:coreProperties>
</file>