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4C92" w14:textId="77777777" w:rsidR="00F5352E" w:rsidRPr="00F5352E" w:rsidRDefault="00F5352E" w:rsidP="00F5352E">
      <w:pPr>
        <w:pStyle w:val="Titre1"/>
      </w:pPr>
      <w:r w:rsidRPr="00F5352E">
        <w:t>Cloud – Synthèse 2025 : évolutions économiques, juridiques et techniques</w:t>
      </w:r>
    </w:p>
    <w:p w14:paraId="0115DC01" w14:textId="77777777" w:rsidR="00F5352E" w:rsidRPr="00F5352E" w:rsidRDefault="00F5352E" w:rsidP="00F5352E">
      <w:pPr>
        <w:rPr>
          <w:b/>
          <w:bCs/>
        </w:rPr>
      </w:pPr>
      <w:r w:rsidRPr="00F5352E">
        <w:rPr>
          <w:b/>
          <w:bCs/>
        </w:rPr>
        <w:t>1. Marché du cloud en 2025 : concentration et souveraineté</w:t>
      </w:r>
    </w:p>
    <w:p w14:paraId="3EA5CD42" w14:textId="77777777" w:rsidR="00F5352E" w:rsidRPr="00F5352E" w:rsidRDefault="00F5352E" w:rsidP="00F5352E">
      <w:r w:rsidRPr="00F5352E">
        <w:rPr>
          <w:b/>
          <w:bCs/>
        </w:rPr>
        <w:t>Sources :</w:t>
      </w:r>
      <w:r w:rsidRPr="00F5352E">
        <w:t xml:space="preserve"> Le Monde Informatique, Usine Digitale, Sénat (France), Commission européenne, 2025</w:t>
      </w:r>
    </w:p>
    <w:p w14:paraId="79C02DF9" w14:textId="77777777" w:rsidR="00F5352E" w:rsidRPr="00F5352E" w:rsidRDefault="00F5352E" w:rsidP="00F5352E">
      <w:r w:rsidRPr="00F5352E">
        <w:t xml:space="preserve">Le marché européen du cloud continue de se consolider autour des grands acteurs américains (AWS, Microsoft, Google), mais 2025 marque une </w:t>
      </w:r>
      <w:r w:rsidRPr="00F5352E">
        <w:rPr>
          <w:b/>
          <w:bCs/>
        </w:rPr>
        <w:t>reconfiguration souveraine</w:t>
      </w:r>
      <w:r w:rsidRPr="00F5352E">
        <w:t xml:space="preserve"> :</w:t>
      </w:r>
    </w:p>
    <w:p w14:paraId="5CB09C52" w14:textId="77777777" w:rsidR="00F5352E" w:rsidRPr="00F5352E" w:rsidRDefault="00F5352E" w:rsidP="00F5352E">
      <w:pPr>
        <w:numPr>
          <w:ilvl w:val="0"/>
          <w:numId w:val="17"/>
        </w:numPr>
      </w:pPr>
      <w:r w:rsidRPr="00F5352E">
        <w:t>L’</w:t>
      </w:r>
      <w:r w:rsidRPr="00F5352E">
        <w:rPr>
          <w:b/>
          <w:bCs/>
        </w:rPr>
        <w:t>Union européenne</w:t>
      </w:r>
      <w:r w:rsidRPr="00F5352E">
        <w:t xml:space="preserve"> promeut des solutions certifiées “</w:t>
      </w:r>
      <w:r w:rsidRPr="00F5352E">
        <w:rPr>
          <w:b/>
          <w:bCs/>
        </w:rPr>
        <w:t>cloud de confiance</w:t>
      </w:r>
      <w:r w:rsidRPr="00F5352E">
        <w:t>” (SecNumCloud, Gaia-X).</w:t>
      </w:r>
    </w:p>
    <w:p w14:paraId="7E69E128" w14:textId="77777777" w:rsidR="00F5352E" w:rsidRPr="00F5352E" w:rsidRDefault="00F5352E" w:rsidP="00F5352E">
      <w:pPr>
        <w:numPr>
          <w:ilvl w:val="0"/>
          <w:numId w:val="17"/>
        </w:numPr>
      </w:pPr>
      <w:r w:rsidRPr="00F5352E">
        <w:t xml:space="preserve">La </w:t>
      </w:r>
      <w:r w:rsidRPr="00F5352E">
        <w:rPr>
          <w:b/>
          <w:bCs/>
        </w:rPr>
        <w:t>Commission européenne</w:t>
      </w:r>
      <w:r w:rsidRPr="00F5352E">
        <w:t xml:space="preserve"> a engagé la </w:t>
      </w:r>
      <w:r w:rsidRPr="00F5352E">
        <w:rPr>
          <w:b/>
          <w:bCs/>
        </w:rPr>
        <w:t>migration de ses données stratégiques vers OVHcloud</w:t>
      </w:r>
      <w:r w:rsidRPr="00F5352E">
        <w:t>, dans une logique de souveraineté numérique.</w:t>
      </w:r>
    </w:p>
    <w:p w14:paraId="3EEFC6E6" w14:textId="77777777" w:rsidR="00F5352E" w:rsidRPr="00F5352E" w:rsidRDefault="00F5352E" w:rsidP="00F5352E">
      <w:pPr>
        <w:numPr>
          <w:ilvl w:val="0"/>
          <w:numId w:val="17"/>
        </w:numPr>
      </w:pPr>
      <w:r w:rsidRPr="00F5352E">
        <w:rPr>
          <w:b/>
          <w:bCs/>
        </w:rPr>
        <w:t>Microsoft Sovereign Cloud</w:t>
      </w:r>
      <w:r w:rsidRPr="00F5352E">
        <w:t xml:space="preserve"> promet un hébergement en Europe, avec clés de chiffrement locales, mais reste soumis au </w:t>
      </w:r>
      <w:r w:rsidRPr="00F5352E">
        <w:rPr>
          <w:b/>
          <w:bCs/>
        </w:rPr>
        <w:t xml:space="preserve">Cloud </w:t>
      </w:r>
      <w:proofErr w:type="spellStart"/>
      <w:r w:rsidRPr="00F5352E">
        <w:rPr>
          <w:b/>
          <w:bCs/>
        </w:rPr>
        <w:t>Act</w:t>
      </w:r>
      <w:proofErr w:type="spellEnd"/>
      <w:r w:rsidRPr="00F5352E">
        <w:t xml:space="preserve"> américain.</w:t>
      </w:r>
    </w:p>
    <w:p w14:paraId="0FAE39B4" w14:textId="77777777" w:rsidR="00F5352E" w:rsidRPr="00F5352E" w:rsidRDefault="00F5352E" w:rsidP="00F5352E">
      <w:pPr>
        <w:numPr>
          <w:ilvl w:val="0"/>
          <w:numId w:val="17"/>
        </w:numPr>
      </w:pPr>
      <w:r w:rsidRPr="00F5352E">
        <w:t xml:space="preserve">Des experts (ANSSI, Sénat, Thales) alertent sur le risque de </w:t>
      </w:r>
      <w:r w:rsidRPr="00F5352E">
        <w:rPr>
          <w:b/>
          <w:bCs/>
        </w:rPr>
        <w:t>dépendance technologique déguisée</w:t>
      </w:r>
      <w:r w:rsidRPr="00F5352E">
        <w:t xml:space="preserve"> et sur la vulnérabilité des clouds mixtes (souverains par label, mais dépendants du code US).</w:t>
      </w:r>
    </w:p>
    <w:p w14:paraId="29E86132" w14:textId="77777777" w:rsidR="00F5352E" w:rsidRPr="00F5352E" w:rsidRDefault="00F5352E" w:rsidP="00F5352E">
      <w:r w:rsidRPr="00F5352E">
        <w:rPr>
          <w:b/>
          <w:bCs/>
        </w:rPr>
        <w:t>À retenir :</w:t>
      </w:r>
      <w:r w:rsidRPr="00F5352E">
        <w:t xml:space="preserve"> 2025 confirme une </w:t>
      </w:r>
      <w:r w:rsidRPr="00F5352E">
        <w:rPr>
          <w:b/>
          <w:bCs/>
        </w:rPr>
        <w:t>tension entre autonomie stratégique et dépendance technologique</w:t>
      </w:r>
      <w:r w:rsidRPr="00F5352E">
        <w:t>. La localisation des données ne garantit pas à elle seule la souveraineté juridique.</w:t>
      </w:r>
    </w:p>
    <w:p w14:paraId="52E5747C" w14:textId="77777777" w:rsidR="00F5352E" w:rsidRPr="00F5352E" w:rsidRDefault="00F5352E" w:rsidP="00F5352E">
      <w:r w:rsidRPr="00F5352E">
        <w:pict w14:anchorId="61BC6D10">
          <v:rect id="_x0000_i1099" style="width:0;height:1.5pt" o:hralign="center" o:hrstd="t" o:hr="t" fillcolor="#a0a0a0" stroked="f"/>
        </w:pict>
      </w:r>
    </w:p>
    <w:p w14:paraId="47B2912A" w14:textId="77777777" w:rsidR="00F5352E" w:rsidRPr="00F5352E" w:rsidRDefault="00F5352E" w:rsidP="00F5352E">
      <w:pPr>
        <w:rPr>
          <w:b/>
          <w:bCs/>
        </w:rPr>
      </w:pPr>
      <w:r w:rsidRPr="00F5352E">
        <w:rPr>
          <w:b/>
          <w:bCs/>
        </w:rPr>
        <w:t xml:space="preserve">2. Cadre juridique : Data </w:t>
      </w:r>
      <w:proofErr w:type="spellStart"/>
      <w:r w:rsidRPr="00F5352E">
        <w:rPr>
          <w:b/>
          <w:bCs/>
        </w:rPr>
        <w:t>Act</w:t>
      </w:r>
      <w:proofErr w:type="spellEnd"/>
      <w:r w:rsidRPr="00F5352E">
        <w:rPr>
          <w:b/>
          <w:bCs/>
        </w:rPr>
        <w:t>, portabilité et accès aux données</w:t>
      </w:r>
    </w:p>
    <w:p w14:paraId="2877C31D" w14:textId="77777777" w:rsidR="00F5352E" w:rsidRPr="00F5352E" w:rsidRDefault="00F5352E" w:rsidP="00F5352E">
      <w:r w:rsidRPr="00F5352E">
        <w:rPr>
          <w:b/>
          <w:bCs/>
        </w:rPr>
        <w:t>Sources :</w:t>
      </w:r>
      <w:r w:rsidRPr="00F5352E">
        <w:t xml:space="preserve"> Le Monde Informatique, Usine Digitale, Commission européenne, septembre 2025</w:t>
      </w:r>
    </w:p>
    <w:p w14:paraId="1584F49F" w14:textId="77777777" w:rsidR="00F5352E" w:rsidRPr="00F5352E" w:rsidRDefault="00F5352E" w:rsidP="00F5352E">
      <w:r w:rsidRPr="00F5352E">
        <w:t xml:space="preserve">Entré en vigueur le </w:t>
      </w:r>
      <w:r w:rsidRPr="00F5352E">
        <w:rPr>
          <w:b/>
          <w:bCs/>
        </w:rPr>
        <w:t>12 septembre 2025</w:t>
      </w:r>
      <w:r w:rsidRPr="00F5352E">
        <w:t xml:space="preserve">, le </w:t>
      </w:r>
      <w:r w:rsidRPr="00F5352E">
        <w:rPr>
          <w:b/>
          <w:bCs/>
        </w:rPr>
        <w:t xml:space="preserve">Data </w:t>
      </w:r>
      <w:proofErr w:type="spellStart"/>
      <w:r w:rsidRPr="00F5352E">
        <w:rPr>
          <w:b/>
          <w:bCs/>
        </w:rPr>
        <w:t>Act</w:t>
      </w:r>
      <w:proofErr w:type="spellEnd"/>
      <w:r w:rsidRPr="00F5352E">
        <w:t xml:space="preserve"> transforme profondément l’écosystème cloud et IoT :</w:t>
      </w:r>
    </w:p>
    <w:p w14:paraId="28A93D5F" w14:textId="77777777" w:rsidR="00F5352E" w:rsidRPr="00F5352E" w:rsidRDefault="00F5352E" w:rsidP="00F5352E">
      <w:pPr>
        <w:numPr>
          <w:ilvl w:val="0"/>
          <w:numId w:val="18"/>
        </w:numPr>
      </w:pPr>
      <w:r w:rsidRPr="00F5352E">
        <w:rPr>
          <w:b/>
          <w:bCs/>
        </w:rPr>
        <w:t>Interopérabilité obligatoire</w:t>
      </w:r>
      <w:r w:rsidRPr="00F5352E">
        <w:t xml:space="preserve"> entre fournisseurs, fin des </w:t>
      </w:r>
      <w:r w:rsidRPr="00F5352E">
        <w:rPr>
          <w:b/>
          <w:bCs/>
        </w:rPr>
        <w:t>frais de sortie</w:t>
      </w:r>
      <w:r w:rsidRPr="00F5352E">
        <w:t xml:space="preserve"> d’ici 2027.</w:t>
      </w:r>
    </w:p>
    <w:p w14:paraId="7FA43588" w14:textId="77777777" w:rsidR="00F5352E" w:rsidRPr="00F5352E" w:rsidRDefault="00F5352E" w:rsidP="00F5352E">
      <w:pPr>
        <w:numPr>
          <w:ilvl w:val="0"/>
          <w:numId w:val="18"/>
        </w:numPr>
      </w:pPr>
      <w:r w:rsidRPr="00F5352E">
        <w:rPr>
          <w:b/>
          <w:bCs/>
        </w:rPr>
        <w:t>Portabilité accrue</w:t>
      </w:r>
      <w:r w:rsidRPr="00F5352E">
        <w:t xml:space="preserve"> : les clients doivent pouvoir transférer librement leurs données et applications d’un cloud à un autre.</w:t>
      </w:r>
    </w:p>
    <w:p w14:paraId="59A6A24F" w14:textId="77777777" w:rsidR="00F5352E" w:rsidRPr="00F5352E" w:rsidRDefault="00F5352E" w:rsidP="00F5352E">
      <w:pPr>
        <w:numPr>
          <w:ilvl w:val="0"/>
          <w:numId w:val="18"/>
        </w:numPr>
      </w:pPr>
      <w:r w:rsidRPr="00F5352E">
        <w:rPr>
          <w:b/>
          <w:bCs/>
        </w:rPr>
        <w:t>Ouverture de l’accès public aux données privées</w:t>
      </w:r>
      <w:r w:rsidRPr="00F5352E">
        <w:t xml:space="preserve"> en cas de crise (catastrophe, cyberattaque, urgence sanitaire).</w:t>
      </w:r>
    </w:p>
    <w:p w14:paraId="68AD8CEF" w14:textId="77777777" w:rsidR="00F5352E" w:rsidRPr="00F5352E" w:rsidRDefault="00F5352E" w:rsidP="00F5352E">
      <w:pPr>
        <w:numPr>
          <w:ilvl w:val="0"/>
          <w:numId w:val="18"/>
        </w:numPr>
      </w:pPr>
      <w:r w:rsidRPr="00F5352E">
        <w:rPr>
          <w:b/>
          <w:bCs/>
        </w:rPr>
        <w:t>Obligations pour les fabricants IoT</w:t>
      </w:r>
      <w:r w:rsidRPr="00F5352E">
        <w:t xml:space="preserve"> : permettre à l’utilisateur de récupérer et partager les données issues de ses équipements.</w:t>
      </w:r>
    </w:p>
    <w:p w14:paraId="65049DAA" w14:textId="77777777" w:rsidR="00F5352E" w:rsidRPr="00F5352E" w:rsidRDefault="00F5352E" w:rsidP="00F5352E">
      <w:r w:rsidRPr="00F5352E">
        <w:t xml:space="preserve">Le Data </w:t>
      </w:r>
      <w:proofErr w:type="spellStart"/>
      <w:r w:rsidRPr="00F5352E">
        <w:t>Act</w:t>
      </w:r>
      <w:proofErr w:type="spellEnd"/>
      <w:r w:rsidRPr="00F5352E">
        <w:t xml:space="preserve"> renforce la </w:t>
      </w:r>
      <w:r w:rsidRPr="00F5352E">
        <w:rPr>
          <w:b/>
          <w:bCs/>
        </w:rPr>
        <w:t>concurrence</w:t>
      </w:r>
      <w:r w:rsidRPr="00F5352E">
        <w:t xml:space="preserve"> et la </w:t>
      </w:r>
      <w:r w:rsidRPr="00F5352E">
        <w:rPr>
          <w:b/>
          <w:bCs/>
        </w:rPr>
        <w:t>souveraineté numérique</w:t>
      </w:r>
      <w:r w:rsidRPr="00F5352E">
        <w:t xml:space="preserve"> européenne, tout en imposant de nouvelles responsabilités contractuelles aux prestataires cloud.</w:t>
      </w:r>
    </w:p>
    <w:p w14:paraId="7D2171B9" w14:textId="77777777" w:rsidR="00F5352E" w:rsidRPr="00F5352E" w:rsidRDefault="00F5352E" w:rsidP="00F5352E">
      <w:r w:rsidRPr="00F5352E">
        <w:rPr>
          <w:b/>
          <w:bCs/>
        </w:rPr>
        <w:t>À retenir :</w:t>
      </w:r>
      <w:r w:rsidRPr="00F5352E">
        <w:t xml:space="preserve"> les entreprises doivent réviser leurs </w:t>
      </w:r>
      <w:r w:rsidRPr="00F5352E">
        <w:rPr>
          <w:b/>
          <w:bCs/>
        </w:rPr>
        <w:t>contrats cloud</w:t>
      </w:r>
      <w:r w:rsidRPr="00F5352E">
        <w:t xml:space="preserve"> (clauses d’effacement, réversibilité, sécurité) et préparer leurs architectures à la </w:t>
      </w:r>
      <w:r w:rsidRPr="00F5352E">
        <w:rPr>
          <w:b/>
          <w:bCs/>
        </w:rPr>
        <w:t>multi-portabilité</w:t>
      </w:r>
      <w:r w:rsidRPr="00F5352E">
        <w:t>.</w:t>
      </w:r>
    </w:p>
    <w:p w14:paraId="0714C6CA" w14:textId="77777777" w:rsidR="00F5352E" w:rsidRPr="00F5352E" w:rsidRDefault="00F5352E" w:rsidP="00F5352E">
      <w:r w:rsidRPr="00F5352E">
        <w:pict w14:anchorId="14B0E159">
          <v:rect id="_x0000_i1100" style="width:0;height:1.5pt" o:hralign="center" o:hrstd="t" o:hr="t" fillcolor="#a0a0a0" stroked="f"/>
        </w:pict>
      </w:r>
    </w:p>
    <w:p w14:paraId="431ADB2B" w14:textId="77777777" w:rsidR="00F5352E" w:rsidRPr="00F5352E" w:rsidRDefault="00F5352E" w:rsidP="00F5352E">
      <w:pPr>
        <w:rPr>
          <w:b/>
          <w:bCs/>
        </w:rPr>
      </w:pPr>
      <w:r w:rsidRPr="00F5352E">
        <w:rPr>
          <w:b/>
          <w:bCs/>
        </w:rPr>
        <w:t>3. Coûts, infrastructures et durabilité énergétique</w:t>
      </w:r>
    </w:p>
    <w:p w14:paraId="7856EBC4" w14:textId="77777777" w:rsidR="00F5352E" w:rsidRPr="00F5352E" w:rsidRDefault="00F5352E" w:rsidP="00F5352E">
      <w:r w:rsidRPr="00F5352E">
        <w:rPr>
          <w:b/>
          <w:bCs/>
        </w:rPr>
        <w:t>Sources :</w:t>
      </w:r>
      <w:r w:rsidRPr="00F5352E">
        <w:t xml:space="preserve"> Goldman Sachs, CBRE, Le Monde Informatique, Uptime Institute, 2025</w:t>
      </w:r>
    </w:p>
    <w:p w14:paraId="399FB4AA" w14:textId="77777777" w:rsidR="00F5352E" w:rsidRPr="00F5352E" w:rsidRDefault="00F5352E" w:rsidP="00F5352E">
      <w:r w:rsidRPr="00F5352E">
        <w:t xml:space="preserve">La croissance exponentielle de l’IA et des </w:t>
      </w:r>
      <w:proofErr w:type="spellStart"/>
      <w:r w:rsidRPr="00F5352E">
        <w:t>workloads</w:t>
      </w:r>
      <w:proofErr w:type="spellEnd"/>
      <w:r w:rsidRPr="00F5352E">
        <w:t xml:space="preserve"> cloud entraîne une </w:t>
      </w:r>
      <w:r w:rsidRPr="00F5352E">
        <w:rPr>
          <w:b/>
          <w:bCs/>
        </w:rPr>
        <w:t>hausse historique des coûts d’exploitation</w:t>
      </w:r>
      <w:r w:rsidRPr="00F5352E">
        <w:t xml:space="preserve"> :</w:t>
      </w:r>
    </w:p>
    <w:p w14:paraId="3EE2BE57" w14:textId="77777777" w:rsidR="00F5352E" w:rsidRPr="00F5352E" w:rsidRDefault="00F5352E" w:rsidP="00F5352E">
      <w:pPr>
        <w:numPr>
          <w:ilvl w:val="0"/>
          <w:numId w:val="19"/>
        </w:numPr>
      </w:pPr>
      <w:r w:rsidRPr="00F5352E">
        <w:t>+18 % en moyenne pour les datacenters en Europe (foncier, énergie, refroidissement).</w:t>
      </w:r>
    </w:p>
    <w:p w14:paraId="1BACEE9E" w14:textId="77777777" w:rsidR="00F5352E" w:rsidRPr="00F5352E" w:rsidRDefault="00F5352E" w:rsidP="00F5352E">
      <w:pPr>
        <w:numPr>
          <w:ilvl w:val="0"/>
          <w:numId w:val="19"/>
        </w:numPr>
      </w:pPr>
      <w:r w:rsidRPr="00F5352E">
        <w:t xml:space="preserve">La </w:t>
      </w:r>
      <w:r w:rsidRPr="00F5352E">
        <w:rPr>
          <w:b/>
          <w:bCs/>
        </w:rPr>
        <w:t>consommation électrique mondiale</w:t>
      </w:r>
      <w:r w:rsidRPr="00F5352E">
        <w:t xml:space="preserve"> des datacenters atteindra 92 GW en 2027 (+50 % vs 2023), dont </w:t>
      </w:r>
      <w:r w:rsidRPr="00F5352E">
        <w:rPr>
          <w:b/>
          <w:bCs/>
        </w:rPr>
        <w:t>28 % liés à l’IA</w:t>
      </w:r>
      <w:r w:rsidRPr="00F5352E">
        <w:t>.</w:t>
      </w:r>
    </w:p>
    <w:p w14:paraId="544AE329" w14:textId="77777777" w:rsidR="00F5352E" w:rsidRPr="00F5352E" w:rsidRDefault="00F5352E" w:rsidP="00F5352E">
      <w:pPr>
        <w:numPr>
          <w:ilvl w:val="0"/>
          <w:numId w:val="19"/>
        </w:numPr>
      </w:pPr>
      <w:r w:rsidRPr="00F5352E">
        <w:lastRenderedPageBreak/>
        <w:t xml:space="preserve">Les opérateurs recourent à des </w:t>
      </w:r>
      <w:r w:rsidRPr="00F5352E">
        <w:rPr>
          <w:b/>
          <w:bCs/>
        </w:rPr>
        <w:t xml:space="preserve">Power </w:t>
      </w:r>
      <w:proofErr w:type="spellStart"/>
      <w:r w:rsidRPr="00F5352E">
        <w:rPr>
          <w:b/>
          <w:bCs/>
        </w:rPr>
        <w:t>Purchase</w:t>
      </w:r>
      <w:proofErr w:type="spellEnd"/>
      <w:r w:rsidRPr="00F5352E">
        <w:rPr>
          <w:b/>
          <w:bCs/>
        </w:rPr>
        <w:t xml:space="preserve"> </w:t>
      </w:r>
      <w:proofErr w:type="spellStart"/>
      <w:r w:rsidRPr="00F5352E">
        <w:rPr>
          <w:b/>
          <w:bCs/>
        </w:rPr>
        <w:t>Agreements</w:t>
      </w:r>
      <w:proofErr w:type="spellEnd"/>
      <w:r w:rsidRPr="00F5352E">
        <w:t xml:space="preserve"> (PPA) à long terme, notamment </w:t>
      </w:r>
      <w:r w:rsidRPr="00F5352E">
        <w:rPr>
          <w:b/>
          <w:bCs/>
        </w:rPr>
        <w:t>nucléaires</w:t>
      </w:r>
      <w:r w:rsidRPr="00F5352E">
        <w:t xml:space="preserve"> (ex. contrat Meta – Constellation Energy).</w:t>
      </w:r>
    </w:p>
    <w:p w14:paraId="57F98BD6" w14:textId="77777777" w:rsidR="00F5352E" w:rsidRPr="00F5352E" w:rsidRDefault="00F5352E" w:rsidP="00F5352E">
      <w:pPr>
        <w:numPr>
          <w:ilvl w:val="0"/>
          <w:numId w:val="19"/>
        </w:numPr>
      </w:pPr>
      <w:r w:rsidRPr="00F5352E">
        <w:t xml:space="preserve">Le </w:t>
      </w:r>
      <w:r w:rsidRPr="00F5352E">
        <w:rPr>
          <w:b/>
          <w:bCs/>
        </w:rPr>
        <w:t>projet de règlement européen sur l’eau</w:t>
      </w:r>
      <w:r w:rsidRPr="00F5352E">
        <w:t xml:space="preserve"> (attendu pour 2026) exigera des </w:t>
      </w:r>
      <w:r w:rsidRPr="00F5352E">
        <w:rPr>
          <w:b/>
          <w:bCs/>
        </w:rPr>
        <w:t>normes minimales d’efficacité hydrique</w:t>
      </w:r>
      <w:r w:rsidRPr="00F5352E">
        <w:t xml:space="preserve"> et des capteurs IoT pour surveiller les rejets thermiques.</w:t>
      </w:r>
    </w:p>
    <w:p w14:paraId="1B7678D2" w14:textId="77777777" w:rsidR="00F5352E" w:rsidRPr="00F5352E" w:rsidRDefault="00F5352E" w:rsidP="00F5352E">
      <w:r w:rsidRPr="00F5352E">
        <w:t>Les priorités environnementales reculent face à l’urgence énergétique : le reporting sur la durabilité baisse de 14 % selon l’Uptime Institute.</w:t>
      </w:r>
    </w:p>
    <w:p w14:paraId="2B05CF3B" w14:textId="77777777" w:rsidR="00F5352E" w:rsidRPr="00F5352E" w:rsidRDefault="00F5352E" w:rsidP="00F5352E">
      <w:r w:rsidRPr="00F5352E">
        <w:rPr>
          <w:b/>
          <w:bCs/>
        </w:rPr>
        <w:t>À retenir :</w:t>
      </w:r>
      <w:r w:rsidRPr="00F5352E">
        <w:t xml:space="preserve"> la durabilité cloud devient une </w:t>
      </w:r>
      <w:r w:rsidRPr="00F5352E">
        <w:rPr>
          <w:b/>
          <w:bCs/>
        </w:rPr>
        <w:t>contrainte stratégique</w:t>
      </w:r>
      <w:r w:rsidRPr="00F5352E">
        <w:t xml:space="preserve"> : les choix d’hébergement devront concilier </w:t>
      </w:r>
      <w:r w:rsidRPr="00F5352E">
        <w:rPr>
          <w:b/>
          <w:bCs/>
        </w:rPr>
        <w:t>coût, énergie, eau et empreinte CO₂</w:t>
      </w:r>
      <w:r w:rsidRPr="00F5352E">
        <w:t>.</w:t>
      </w:r>
    </w:p>
    <w:p w14:paraId="18EBD417" w14:textId="77777777" w:rsidR="00F5352E" w:rsidRPr="00F5352E" w:rsidRDefault="00F5352E" w:rsidP="00F5352E">
      <w:r w:rsidRPr="00F5352E">
        <w:pict w14:anchorId="60C1CEF9">
          <v:rect id="_x0000_i1101" style="width:0;height:1.5pt" o:hralign="center" o:hrstd="t" o:hr="t" fillcolor="#a0a0a0" stroked="f"/>
        </w:pict>
      </w:r>
    </w:p>
    <w:p w14:paraId="2A343F0A" w14:textId="77777777" w:rsidR="00F5352E" w:rsidRPr="00F5352E" w:rsidRDefault="00F5352E" w:rsidP="00F5352E">
      <w:pPr>
        <w:rPr>
          <w:b/>
          <w:bCs/>
        </w:rPr>
      </w:pPr>
      <w:r w:rsidRPr="00F5352E">
        <w:rPr>
          <w:b/>
          <w:bCs/>
        </w:rPr>
        <w:t>4. Sécurité du cloud et résilience opérationnelle</w:t>
      </w:r>
    </w:p>
    <w:p w14:paraId="31631D74" w14:textId="77777777" w:rsidR="00F5352E" w:rsidRPr="00F5352E" w:rsidRDefault="00F5352E" w:rsidP="00F5352E">
      <w:r w:rsidRPr="00F5352E">
        <w:rPr>
          <w:b/>
          <w:bCs/>
        </w:rPr>
        <w:t>Sources :</w:t>
      </w:r>
      <w:r w:rsidRPr="00F5352E">
        <w:t xml:space="preserve"> ANSSI, Le Monde Informatique, IBM Security, Tenable, 2025</w:t>
      </w:r>
    </w:p>
    <w:p w14:paraId="426DB52C" w14:textId="77777777" w:rsidR="00F5352E" w:rsidRPr="00F5352E" w:rsidRDefault="00F5352E" w:rsidP="00F5352E">
      <w:r w:rsidRPr="00F5352E">
        <w:t>Les cyberattaques et les vulnérabilités liées au cloud se multiplient :</w:t>
      </w:r>
    </w:p>
    <w:p w14:paraId="05CC1E26" w14:textId="77777777" w:rsidR="00F5352E" w:rsidRPr="00F5352E" w:rsidRDefault="00F5352E" w:rsidP="00F5352E">
      <w:pPr>
        <w:numPr>
          <w:ilvl w:val="0"/>
          <w:numId w:val="20"/>
        </w:numPr>
      </w:pPr>
      <w:r w:rsidRPr="00F5352E">
        <w:rPr>
          <w:b/>
          <w:bCs/>
        </w:rPr>
        <w:t>38 %</w:t>
      </w:r>
      <w:r w:rsidRPr="00F5352E">
        <w:t xml:space="preserve"> des environnements cloud présentent encore des configurations à risque (privilèges excessifs, exposition publique, patchs non appliqués).</w:t>
      </w:r>
    </w:p>
    <w:p w14:paraId="02AD3E06" w14:textId="77777777" w:rsidR="00F5352E" w:rsidRPr="00F5352E" w:rsidRDefault="00F5352E" w:rsidP="00F5352E">
      <w:pPr>
        <w:numPr>
          <w:ilvl w:val="0"/>
          <w:numId w:val="20"/>
        </w:numPr>
      </w:pPr>
      <w:r w:rsidRPr="00F5352E">
        <w:t xml:space="preserve">Les incidents récents (Cour pénale internationale, Bouygues Telecom, </w:t>
      </w:r>
      <w:proofErr w:type="spellStart"/>
      <w:r w:rsidRPr="00F5352E">
        <w:t>SonicWall</w:t>
      </w:r>
      <w:proofErr w:type="spellEnd"/>
      <w:r w:rsidRPr="00F5352E">
        <w:t xml:space="preserve">) rappellent la nécessité d’un </w:t>
      </w:r>
      <w:r w:rsidRPr="00F5352E">
        <w:rPr>
          <w:b/>
          <w:bCs/>
        </w:rPr>
        <w:t xml:space="preserve">plan de continuité </w:t>
      </w:r>
      <w:proofErr w:type="spellStart"/>
      <w:r w:rsidRPr="00F5352E">
        <w:rPr>
          <w:b/>
          <w:bCs/>
        </w:rPr>
        <w:t>multi-cloud</w:t>
      </w:r>
      <w:proofErr w:type="spellEnd"/>
      <w:r w:rsidRPr="00F5352E">
        <w:t xml:space="preserve"> et de </w:t>
      </w:r>
      <w:r w:rsidRPr="00F5352E">
        <w:rPr>
          <w:b/>
          <w:bCs/>
        </w:rPr>
        <w:t>sauvegardes décentralisées</w:t>
      </w:r>
      <w:r w:rsidRPr="00F5352E">
        <w:t>.</w:t>
      </w:r>
    </w:p>
    <w:p w14:paraId="4B3111B8" w14:textId="77777777" w:rsidR="00F5352E" w:rsidRPr="00F5352E" w:rsidRDefault="00F5352E" w:rsidP="00F5352E">
      <w:pPr>
        <w:numPr>
          <w:ilvl w:val="0"/>
          <w:numId w:val="20"/>
        </w:numPr>
      </w:pPr>
      <w:r w:rsidRPr="00F5352E">
        <w:t xml:space="preserve">Les campagnes d’attaque visent désormais les </w:t>
      </w:r>
      <w:r w:rsidRPr="00F5352E">
        <w:rPr>
          <w:b/>
          <w:bCs/>
        </w:rPr>
        <w:t xml:space="preserve">API </w:t>
      </w:r>
      <w:proofErr w:type="spellStart"/>
      <w:r w:rsidRPr="00F5352E">
        <w:rPr>
          <w:b/>
          <w:bCs/>
        </w:rPr>
        <w:t>OAuth</w:t>
      </w:r>
      <w:proofErr w:type="spellEnd"/>
      <w:r w:rsidRPr="00F5352E">
        <w:t xml:space="preserve"> et les </w:t>
      </w:r>
      <w:r w:rsidRPr="00F5352E">
        <w:rPr>
          <w:b/>
          <w:bCs/>
        </w:rPr>
        <w:t>intégrations SaaS</w:t>
      </w:r>
      <w:r w:rsidRPr="00F5352E">
        <w:t xml:space="preserve"> (ex. faille OneDrive 2025).</w:t>
      </w:r>
    </w:p>
    <w:p w14:paraId="348199C3" w14:textId="77777777" w:rsidR="00F5352E" w:rsidRPr="00F5352E" w:rsidRDefault="00F5352E" w:rsidP="00F5352E">
      <w:pPr>
        <w:numPr>
          <w:ilvl w:val="0"/>
          <w:numId w:val="20"/>
        </w:numPr>
      </w:pPr>
      <w:r w:rsidRPr="00F5352E">
        <w:t>L’</w:t>
      </w:r>
      <w:r w:rsidRPr="00F5352E">
        <w:rPr>
          <w:b/>
          <w:bCs/>
        </w:rPr>
        <w:t>ANSSI</w:t>
      </w:r>
      <w:r w:rsidRPr="00F5352E">
        <w:t xml:space="preserve"> pousse à la migration vers la </w:t>
      </w:r>
      <w:r w:rsidRPr="00F5352E">
        <w:rPr>
          <w:b/>
          <w:bCs/>
        </w:rPr>
        <w:t>cryptographie post-quantique</w:t>
      </w:r>
      <w:r w:rsidRPr="00F5352E">
        <w:t xml:space="preserve"> d’ici 2030.</w:t>
      </w:r>
    </w:p>
    <w:p w14:paraId="6AF4971E" w14:textId="77777777" w:rsidR="00F5352E" w:rsidRPr="00F5352E" w:rsidRDefault="00F5352E" w:rsidP="00F5352E">
      <w:r w:rsidRPr="00F5352E">
        <w:rPr>
          <w:b/>
          <w:bCs/>
        </w:rPr>
        <w:t>Bonnes pratiques 2025 :</w:t>
      </w:r>
    </w:p>
    <w:p w14:paraId="44564C77" w14:textId="77777777" w:rsidR="00F5352E" w:rsidRPr="00F5352E" w:rsidRDefault="00F5352E" w:rsidP="00F5352E">
      <w:pPr>
        <w:numPr>
          <w:ilvl w:val="0"/>
          <w:numId w:val="21"/>
        </w:numPr>
      </w:pPr>
      <w:r w:rsidRPr="00F5352E">
        <w:t xml:space="preserve">Généraliser les approches </w:t>
      </w:r>
      <w:proofErr w:type="spellStart"/>
      <w:r w:rsidRPr="00F5352E">
        <w:rPr>
          <w:b/>
          <w:bCs/>
        </w:rPr>
        <w:t>Zero</w:t>
      </w:r>
      <w:proofErr w:type="spellEnd"/>
      <w:r w:rsidRPr="00F5352E">
        <w:rPr>
          <w:b/>
          <w:bCs/>
        </w:rPr>
        <w:t xml:space="preserve"> Trust</w:t>
      </w:r>
      <w:r w:rsidRPr="00F5352E">
        <w:t xml:space="preserve"> et </w:t>
      </w:r>
      <w:r w:rsidRPr="00F5352E">
        <w:rPr>
          <w:b/>
          <w:bCs/>
        </w:rPr>
        <w:t>principes du moindre privilège</w:t>
      </w:r>
      <w:r w:rsidRPr="00F5352E">
        <w:t>.</w:t>
      </w:r>
    </w:p>
    <w:p w14:paraId="3DC040BB" w14:textId="77777777" w:rsidR="00F5352E" w:rsidRPr="00F5352E" w:rsidRDefault="00F5352E" w:rsidP="00F5352E">
      <w:pPr>
        <w:numPr>
          <w:ilvl w:val="0"/>
          <w:numId w:val="21"/>
        </w:numPr>
      </w:pPr>
      <w:r w:rsidRPr="00F5352E">
        <w:t xml:space="preserve">Auditer régulièrement les </w:t>
      </w:r>
      <w:r w:rsidRPr="00F5352E">
        <w:rPr>
          <w:b/>
          <w:bCs/>
        </w:rPr>
        <w:t xml:space="preserve">chaînes d’accès </w:t>
      </w:r>
      <w:proofErr w:type="spellStart"/>
      <w:r w:rsidRPr="00F5352E">
        <w:rPr>
          <w:b/>
          <w:bCs/>
        </w:rPr>
        <w:t>OAuth</w:t>
      </w:r>
      <w:proofErr w:type="spellEnd"/>
      <w:r w:rsidRPr="00F5352E">
        <w:rPr>
          <w:b/>
          <w:bCs/>
        </w:rPr>
        <w:t xml:space="preserve"> / API</w:t>
      </w:r>
      <w:r w:rsidRPr="00F5352E">
        <w:t>.</w:t>
      </w:r>
    </w:p>
    <w:p w14:paraId="13801510" w14:textId="77777777" w:rsidR="00F5352E" w:rsidRPr="00F5352E" w:rsidRDefault="00F5352E" w:rsidP="00F5352E">
      <w:pPr>
        <w:numPr>
          <w:ilvl w:val="0"/>
          <w:numId w:val="21"/>
        </w:numPr>
      </w:pPr>
      <w:r w:rsidRPr="00F5352E">
        <w:t xml:space="preserve">Documenter les </w:t>
      </w:r>
      <w:r w:rsidRPr="00F5352E">
        <w:rPr>
          <w:b/>
          <w:bCs/>
        </w:rPr>
        <w:t>flux inter-cloud</w:t>
      </w:r>
      <w:r w:rsidRPr="00F5352E">
        <w:t xml:space="preserve"> pour la traçabilité et la conformité RGPD / Data </w:t>
      </w:r>
      <w:proofErr w:type="spellStart"/>
      <w:r w:rsidRPr="00F5352E">
        <w:t>Act</w:t>
      </w:r>
      <w:proofErr w:type="spellEnd"/>
      <w:r w:rsidRPr="00F5352E">
        <w:t>.</w:t>
      </w:r>
    </w:p>
    <w:p w14:paraId="33B4B319" w14:textId="77777777" w:rsidR="00F5352E" w:rsidRPr="00F5352E" w:rsidRDefault="00F5352E" w:rsidP="00F5352E">
      <w:r w:rsidRPr="00F5352E">
        <w:rPr>
          <w:b/>
          <w:bCs/>
        </w:rPr>
        <w:t>À retenir :</w:t>
      </w:r>
      <w:r w:rsidRPr="00F5352E">
        <w:t xml:space="preserve"> la sécurité cloud 2025 se déplace vers la </w:t>
      </w:r>
      <w:r w:rsidRPr="00F5352E">
        <w:rPr>
          <w:b/>
          <w:bCs/>
        </w:rPr>
        <w:t>gestion proactive des identités, des API et de la chaîne de dépendance logicielle</w:t>
      </w:r>
      <w:r w:rsidRPr="00F5352E">
        <w:t>.</w:t>
      </w:r>
    </w:p>
    <w:p w14:paraId="364786F9" w14:textId="77777777" w:rsidR="00F5352E" w:rsidRPr="00F5352E" w:rsidRDefault="00F5352E" w:rsidP="00F5352E">
      <w:r w:rsidRPr="00F5352E">
        <w:pict w14:anchorId="062E16C7">
          <v:rect id="_x0000_i1102" style="width:0;height:1.5pt" o:hralign="center" o:hrstd="t" o:hr="t" fillcolor="#a0a0a0" stroked="f"/>
        </w:pict>
      </w:r>
    </w:p>
    <w:p w14:paraId="7111BD78" w14:textId="77777777" w:rsidR="00F5352E" w:rsidRPr="00F5352E" w:rsidRDefault="00F5352E" w:rsidP="00F5352E">
      <w:pPr>
        <w:rPr>
          <w:b/>
          <w:bCs/>
        </w:rPr>
      </w:pPr>
      <w:r w:rsidRPr="00F5352E">
        <w:rPr>
          <w:b/>
          <w:bCs/>
        </w:rPr>
        <w:t xml:space="preserve">5. Nouvelles architectures : multicloud, </w:t>
      </w:r>
      <w:proofErr w:type="spellStart"/>
      <w:r w:rsidRPr="00F5352E">
        <w:rPr>
          <w:b/>
          <w:bCs/>
        </w:rPr>
        <w:t>edge</w:t>
      </w:r>
      <w:proofErr w:type="spellEnd"/>
      <w:r w:rsidRPr="00F5352E">
        <w:rPr>
          <w:b/>
          <w:bCs/>
        </w:rPr>
        <w:t xml:space="preserve"> et IA intégrée</w:t>
      </w:r>
    </w:p>
    <w:p w14:paraId="509E9B94" w14:textId="77777777" w:rsidR="00F5352E" w:rsidRPr="00F5352E" w:rsidRDefault="00F5352E" w:rsidP="00F5352E">
      <w:r w:rsidRPr="00F5352E">
        <w:rPr>
          <w:b/>
          <w:bCs/>
        </w:rPr>
        <w:t>Sources :</w:t>
      </w:r>
      <w:r w:rsidRPr="00F5352E">
        <w:t xml:space="preserve"> HPE, Le Monde Informatique, Big Data &amp; AI 2025</w:t>
      </w:r>
    </w:p>
    <w:p w14:paraId="6FC367B0" w14:textId="77777777" w:rsidR="00F5352E" w:rsidRPr="00F5352E" w:rsidRDefault="00F5352E" w:rsidP="00F5352E">
      <w:r w:rsidRPr="00F5352E">
        <w:t xml:space="preserve">Les entreprises s’orientent vers des architectures </w:t>
      </w:r>
      <w:r w:rsidRPr="00F5352E">
        <w:rPr>
          <w:b/>
          <w:bCs/>
        </w:rPr>
        <w:t>hybrides intelligentes</w:t>
      </w:r>
      <w:r w:rsidRPr="00F5352E">
        <w:t xml:space="preserve"> :</w:t>
      </w:r>
    </w:p>
    <w:p w14:paraId="366DAC7F" w14:textId="77777777" w:rsidR="00F5352E" w:rsidRPr="00F5352E" w:rsidRDefault="00F5352E" w:rsidP="00F5352E">
      <w:pPr>
        <w:numPr>
          <w:ilvl w:val="0"/>
          <w:numId w:val="22"/>
        </w:numPr>
      </w:pPr>
      <w:r w:rsidRPr="00F5352E">
        <w:t xml:space="preserve">HPE, Oracle et d’autres acteurs combinent </w:t>
      </w:r>
      <w:proofErr w:type="spellStart"/>
      <w:r w:rsidRPr="00F5352E">
        <w:rPr>
          <w:b/>
          <w:bCs/>
        </w:rPr>
        <w:t>edge</w:t>
      </w:r>
      <w:proofErr w:type="spellEnd"/>
      <w:r w:rsidRPr="00F5352E">
        <w:rPr>
          <w:b/>
          <w:bCs/>
        </w:rPr>
        <w:t xml:space="preserve"> computing, IA et cloud</w:t>
      </w:r>
      <w:r w:rsidRPr="00F5352E">
        <w:t xml:space="preserve"> pour rapprocher le calcul des sources de données.</w:t>
      </w:r>
    </w:p>
    <w:p w14:paraId="287F4ACC" w14:textId="77777777" w:rsidR="00F5352E" w:rsidRPr="00F5352E" w:rsidRDefault="00F5352E" w:rsidP="00F5352E">
      <w:pPr>
        <w:numPr>
          <w:ilvl w:val="0"/>
          <w:numId w:val="22"/>
        </w:numPr>
      </w:pPr>
      <w:r w:rsidRPr="00F5352E">
        <w:t xml:space="preserve">Le </w:t>
      </w:r>
      <w:proofErr w:type="spellStart"/>
      <w:r w:rsidRPr="00F5352E">
        <w:rPr>
          <w:b/>
          <w:bCs/>
        </w:rPr>
        <w:t>framework</w:t>
      </w:r>
      <w:proofErr w:type="spellEnd"/>
      <w:r w:rsidRPr="00F5352E">
        <w:rPr>
          <w:b/>
          <w:bCs/>
        </w:rPr>
        <w:t xml:space="preserve"> Edge-to-Cloud</w:t>
      </w:r>
      <w:r w:rsidRPr="00F5352E">
        <w:t xml:space="preserve"> favorise la modernisation des infrastructures et le pilotage des coûts via des modèles </w:t>
      </w:r>
      <w:r w:rsidRPr="00F5352E">
        <w:rPr>
          <w:i/>
          <w:iCs/>
        </w:rPr>
        <w:t>as-a-service</w:t>
      </w:r>
      <w:r w:rsidRPr="00F5352E">
        <w:t>.</w:t>
      </w:r>
    </w:p>
    <w:p w14:paraId="3665329A" w14:textId="77777777" w:rsidR="00F5352E" w:rsidRPr="00F5352E" w:rsidRDefault="00F5352E" w:rsidP="00F5352E">
      <w:pPr>
        <w:numPr>
          <w:ilvl w:val="0"/>
          <w:numId w:val="22"/>
        </w:numPr>
      </w:pPr>
      <w:r w:rsidRPr="00F5352E">
        <w:t xml:space="preserve">Les </w:t>
      </w:r>
      <w:r w:rsidRPr="00F5352E">
        <w:rPr>
          <w:b/>
          <w:bCs/>
        </w:rPr>
        <w:t>agents IA</w:t>
      </w:r>
      <w:r w:rsidRPr="00F5352E">
        <w:t xml:space="preserve"> et copilotes cloud automatisent la gestion des flux (</w:t>
      </w:r>
      <w:proofErr w:type="spellStart"/>
      <w:r w:rsidRPr="00F5352E">
        <w:t>scaling</w:t>
      </w:r>
      <w:proofErr w:type="spellEnd"/>
      <w:r w:rsidRPr="00F5352E">
        <w:t>, sauvegardes, prédiction d’incidents).</w:t>
      </w:r>
    </w:p>
    <w:p w14:paraId="63530427" w14:textId="77777777" w:rsidR="00F5352E" w:rsidRPr="00F5352E" w:rsidRDefault="00F5352E" w:rsidP="00F5352E">
      <w:pPr>
        <w:numPr>
          <w:ilvl w:val="0"/>
          <w:numId w:val="22"/>
        </w:numPr>
      </w:pPr>
      <w:r w:rsidRPr="00F5352E">
        <w:t xml:space="preserve">Le </w:t>
      </w:r>
      <w:r w:rsidRPr="00F5352E">
        <w:rPr>
          <w:b/>
          <w:bCs/>
        </w:rPr>
        <w:t>Network-as-a-Service (</w:t>
      </w:r>
      <w:proofErr w:type="spellStart"/>
      <w:r w:rsidRPr="00F5352E">
        <w:rPr>
          <w:b/>
          <w:bCs/>
        </w:rPr>
        <w:t>NaaS</w:t>
      </w:r>
      <w:proofErr w:type="spellEnd"/>
      <w:r w:rsidRPr="00F5352E">
        <w:rPr>
          <w:b/>
          <w:bCs/>
        </w:rPr>
        <w:t>)</w:t>
      </w:r>
      <w:r w:rsidRPr="00F5352E">
        <w:t xml:space="preserve"> compense la pénurie de compétences réseau et sécurise les interconnexions multicloud.</w:t>
      </w:r>
    </w:p>
    <w:p w14:paraId="02D32D94" w14:textId="77777777" w:rsidR="00F5352E" w:rsidRPr="00F5352E" w:rsidRDefault="00F5352E" w:rsidP="00F5352E">
      <w:r w:rsidRPr="00F5352E">
        <w:rPr>
          <w:b/>
          <w:bCs/>
        </w:rPr>
        <w:t>À retenir :</w:t>
      </w:r>
      <w:r w:rsidRPr="00F5352E">
        <w:t xml:space="preserve"> 2025 voit naître le </w:t>
      </w:r>
      <w:r w:rsidRPr="00F5352E">
        <w:rPr>
          <w:b/>
          <w:bCs/>
        </w:rPr>
        <w:t>cloud auto-optimisant</w:t>
      </w:r>
      <w:r w:rsidRPr="00F5352E">
        <w:t xml:space="preserve"> : combinaison d’</w:t>
      </w:r>
      <w:r w:rsidRPr="00F5352E">
        <w:rPr>
          <w:b/>
          <w:bCs/>
        </w:rPr>
        <w:t>IA prédictive</w:t>
      </w:r>
      <w:r w:rsidRPr="00F5352E">
        <w:t xml:space="preserve">, de </w:t>
      </w:r>
      <w:r w:rsidRPr="00F5352E">
        <w:rPr>
          <w:b/>
          <w:bCs/>
        </w:rPr>
        <w:t>services managés</w:t>
      </w:r>
      <w:r w:rsidRPr="00F5352E">
        <w:t xml:space="preserve"> et d’une </w:t>
      </w:r>
      <w:r w:rsidRPr="00F5352E">
        <w:rPr>
          <w:b/>
          <w:bCs/>
        </w:rPr>
        <w:t>gouvernance centralisée</w:t>
      </w:r>
      <w:r w:rsidRPr="00F5352E">
        <w:t xml:space="preserve"> des performances.</w:t>
      </w:r>
    </w:p>
    <w:p w14:paraId="7A883F55" w14:textId="77777777" w:rsidR="00F5352E" w:rsidRPr="00F5352E" w:rsidRDefault="00F5352E" w:rsidP="00F5352E">
      <w:r w:rsidRPr="00F5352E">
        <w:pict w14:anchorId="312C8E7C">
          <v:rect id="_x0000_i1103" style="width:0;height:1.5pt" o:hralign="center" o:hrstd="t" o:hr="t" fillcolor="#a0a0a0" stroked="f"/>
        </w:pict>
      </w:r>
    </w:p>
    <w:p w14:paraId="57F2A567" w14:textId="77777777" w:rsidR="00F5352E" w:rsidRPr="00F5352E" w:rsidRDefault="00F5352E" w:rsidP="00F5352E">
      <w:pPr>
        <w:rPr>
          <w:b/>
          <w:bCs/>
        </w:rPr>
      </w:pPr>
      <w:r w:rsidRPr="00F5352E">
        <w:rPr>
          <w:b/>
          <w:bCs/>
        </w:rPr>
        <w:lastRenderedPageBreak/>
        <w:t>6. Conformité et responsabilité</w:t>
      </w:r>
    </w:p>
    <w:p w14:paraId="12C04533" w14:textId="77777777" w:rsidR="00F5352E" w:rsidRPr="00F5352E" w:rsidRDefault="00F5352E" w:rsidP="00F5352E">
      <w:r w:rsidRPr="00F5352E">
        <w:rPr>
          <w:b/>
          <w:bCs/>
        </w:rPr>
        <w:t>Sources :</w:t>
      </w:r>
      <w:r w:rsidRPr="00F5352E">
        <w:t xml:space="preserve"> CNIL, Commission européenne, Le Monde Informatique, 2025</w:t>
      </w:r>
    </w:p>
    <w:p w14:paraId="752B74C4" w14:textId="77777777" w:rsidR="00F5352E" w:rsidRPr="00F5352E" w:rsidRDefault="00F5352E" w:rsidP="00F5352E">
      <w:r w:rsidRPr="00F5352E">
        <w:t>La conformité cloud devient un levier de gouvernance et non plus une simple contrainte :</w:t>
      </w:r>
    </w:p>
    <w:p w14:paraId="1F2B68BC" w14:textId="77777777" w:rsidR="00F5352E" w:rsidRPr="00F5352E" w:rsidRDefault="00F5352E" w:rsidP="00F5352E">
      <w:pPr>
        <w:numPr>
          <w:ilvl w:val="0"/>
          <w:numId w:val="23"/>
        </w:numPr>
      </w:pPr>
      <w:r w:rsidRPr="00F5352E">
        <w:t xml:space="preserve">Obligation de </w:t>
      </w:r>
      <w:r w:rsidRPr="00F5352E">
        <w:rPr>
          <w:b/>
          <w:bCs/>
        </w:rPr>
        <w:t>documentation des traitements</w:t>
      </w:r>
      <w:r w:rsidRPr="00F5352E">
        <w:t xml:space="preserve"> (AI </w:t>
      </w:r>
      <w:proofErr w:type="spellStart"/>
      <w:r w:rsidRPr="00F5352E">
        <w:t>Act</w:t>
      </w:r>
      <w:proofErr w:type="spellEnd"/>
      <w:r w:rsidRPr="00F5352E">
        <w:t xml:space="preserve"> / Data </w:t>
      </w:r>
      <w:proofErr w:type="spellStart"/>
      <w:r w:rsidRPr="00F5352E">
        <w:t>Act</w:t>
      </w:r>
      <w:proofErr w:type="spellEnd"/>
      <w:r w:rsidRPr="00F5352E">
        <w:t>).</w:t>
      </w:r>
    </w:p>
    <w:p w14:paraId="5F5DAC91" w14:textId="77777777" w:rsidR="00F5352E" w:rsidRPr="00F5352E" w:rsidRDefault="00F5352E" w:rsidP="00F5352E">
      <w:pPr>
        <w:numPr>
          <w:ilvl w:val="0"/>
          <w:numId w:val="23"/>
        </w:numPr>
      </w:pPr>
      <w:r w:rsidRPr="00F5352E">
        <w:rPr>
          <w:b/>
          <w:bCs/>
        </w:rPr>
        <w:t>Responsabilité partagée</w:t>
      </w:r>
      <w:r w:rsidRPr="00F5352E">
        <w:t xml:space="preserve"> : les entreprises restent responsables des données même hébergées chez un prestataire.</w:t>
      </w:r>
    </w:p>
    <w:p w14:paraId="27B22054" w14:textId="77777777" w:rsidR="00F5352E" w:rsidRPr="00F5352E" w:rsidRDefault="00F5352E" w:rsidP="00F5352E">
      <w:pPr>
        <w:numPr>
          <w:ilvl w:val="0"/>
          <w:numId w:val="23"/>
        </w:numPr>
      </w:pPr>
      <w:r w:rsidRPr="00F5352E">
        <w:t xml:space="preserve">Les contrôles CNIL visent désormais la </w:t>
      </w:r>
      <w:r w:rsidRPr="00F5352E">
        <w:rPr>
          <w:b/>
          <w:bCs/>
        </w:rPr>
        <w:t>chaîne contractuelle complète</w:t>
      </w:r>
      <w:r w:rsidRPr="00F5352E">
        <w:t xml:space="preserve"> (sous-traitants, interopérabilité, sécurité).</w:t>
      </w:r>
    </w:p>
    <w:p w14:paraId="778EEE56" w14:textId="77777777" w:rsidR="00F5352E" w:rsidRPr="00F5352E" w:rsidRDefault="00F5352E" w:rsidP="00F5352E">
      <w:pPr>
        <w:numPr>
          <w:ilvl w:val="0"/>
          <w:numId w:val="23"/>
        </w:numPr>
      </w:pPr>
      <w:r w:rsidRPr="00F5352E">
        <w:t>L’</w:t>
      </w:r>
      <w:r w:rsidRPr="00F5352E">
        <w:rPr>
          <w:b/>
          <w:bCs/>
        </w:rPr>
        <w:t>extraterritorialité</w:t>
      </w:r>
      <w:r w:rsidRPr="00F5352E">
        <w:t xml:space="preserve"> du droit (Cloud </w:t>
      </w:r>
      <w:proofErr w:type="spellStart"/>
      <w:r w:rsidRPr="00F5352E">
        <w:t>Act</w:t>
      </w:r>
      <w:proofErr w:type="spellEnd"/>
      <w:r w:rsidRPr="00F5352E">
        <w:t>, sanctions internationales) accroît les risques de coupure de service.</w:t>
      </w:r>
    </w:p>
    <w:p w14:paraId="415A3F72" w14:textId="77777777" w:rsidR="00F5352E" w:rsidRPr="00F5352E" w:rsidRDefault="00F5352E" w:rsidP="00F5352E">
      <w:r w:rsidRPr="00F5352E">
        <w:rPr>
          <w:b/>
          <w:bCs/>
        </w:rPr>
        <w:t>À retenir :</w:t>
      </w:r>
      <w:r w:rsidRPr="00F5352E">
        <w:t xml:space="preserve"> les organisations doivent mettre en place une </w:t>
      </w:r>
      <w:r w:rsidRPr="00F5352E">
        <w:rPr>
          <w:b/>
          <w:bCs/>
        </w:rPr>
        <w:t>cartographie des responsabilités cloud</w:t>
      </w:r>
      <w:r w:rsidRPr="00F5352E">
        <w:t xml:space="preserve"> et des </w:t>
      </w:r>
      <w:r w:rsidRPr="00F5352E">
        <w:rPr>
          <w:b/>
          <w:bCs/>
        </w:rPr>
        <w:t>procédures d’audit de conformité continue</w:t>
      </w:r>
      <w:r w:rsidRPr="00F5352E">
        <w:t>.</w:t>
      </w:r>
    </w:p>
    <w:p w14:paraId="3E40C8F6" w14:textId="77777777" w:rsidR="00F5352E" w:rsidRPr="00F5352E" w:rsidRDefault="00F5352E" w:rsidP="00F5352E">
      <w:r w:rsidRPr="00F5352E">
        <w:pict w14:anchorId="1562FBBF">
          <v:rect id="_x0000_i1104" style="width:0;height:1.5pt" o:hralign="center" o:hrstd="t" o:hr="t" fillcolor="#a0a0a0" stroked="f"/>
        </w:pict>
      </w:r>
    </w:p>
    <w:p w14:paraId="566A6952" w14:textId="77777777" w:rsidR="00F5352E" w:rsidRPr="00F5352E" w:rsidRDefault="00F5352E" w:rsidP="00F5352E">
      <w:pPr>
        <w:rPr>
          <w:b/>
          <w:bCs/>
        </w:rPr>
      </w:pPr>
      <w:r w:rsidRPr="00F5352E">
        <w:rPr>
          <w:b/>
          <w:bCs/>
        </w:rPr>
        <w:t>7. Feuille de route pour les entreprises (2025–2027)</w:t>
      </w:r>
    </w:p>
    <w:p w14:paraId="4B575477" w14:textId="77777777" w:rsidR="00F5352E" w:rsidRPr="00F5352E" w:rsidRDefault="00F5352E" w:rsidP="00F5352E">
      <w:pPr>
        <w:numPr>
          <w:ilvl w:val="0"/>
          <w:numId w:val="24"/>
        </w:numPr>
      </w:pPr>
      <w:r w:rsidRPr="00F5352E">
        <w:rPr>
          <w:b/>
          <w:bCs/>
        </w:rPr>
        <w:t>Évaluer la conformité</w:t>
      </w:r>
      <w:r w:rsidRPr="00F5352E">
        <w:t xml:space="preserve"> de leurs fournisseurs selon les critères du </w:t>
      </w:r>
      <w:r w:rsidRPr="00F5352E">
        <w:rPr>
          <w:b/>
          <w:bCs/>
        </w:rPr>
        <w:t xml:space="preserve">Data </w:t>
      </w:r>
      <w:proofErr w:type="spellStart"/>
      <w:r w:rsidRPr="00F5352E">
        <w:rPr>
          <w:b/>
          <w:bCs/>
        </w:rPr>
        <w:t>Act</w:t>
      </w:r>
      <w:proofErr w:type="spellEnd"/>
      <w:r w:rsidRPr="00F5352E">
        <w:t xml:space="preserve"> et des labels </w:t>
      </w:r>
      <w:r w:rsidRPr="00F5352E">
        <w:rPr>
          <w:b/>
          <w:bCs/>
        </w:rPr>
        <w:t>SecNumCloud</w:t>
      </w:r>
      <w:r w:rsidRPr="00F5352E">
        <w:t>.</w:t>
      </w:r>
    </w:p>
    <w:p w14:paraId="705045B9" w14:textId="77777777" w:rsidR="00F5352E" w:rsidRPr="00F5352E" w:rsidRDefault="00F5352E" w:rsidP="00F5352E">
      <w:pPr>
        <w:numPr>
          <w:ilvl w:val="0"/>
          <w:numId w:val="24"/>
        </w:numPr>
      </w:pPr>
      <w:r w:rsidRPr="00F5352E">
        <w:rPr>
          <w:b/>
          <w:bCs/>
        </w:rPr>
        <w:t>Intégrer la durabilité</w:t>
      </w:r>
      <w:r w:rsidRPr="00F5352E">
        <w:t xml:space="preserve"> (PUE, consommation d’eau, émissions CO₂) dans les appels d’offres cloud.</w:t>
      </w:r>
    </w:p>
    <w:p w14:paraId="528FCB02" w14:textId="77777777" w:rsidR="00F5352E" w:rsidRPr="00F5352E" w:rsidRDefault="00F5352E" w:rsidP="00F5352E">
      <w:pPr>
        <w:numPr>
          <w:ilvl w:val="0"/>
          <w:numId w:val="24"/>
        </w:numPr>
      </w:pPr>
      <w:r w:rsidRPr="00F5352E">
        <w:rPr>
          <w:b/>
          <w:bCs/>
        </w:rPr>
        <w:t>Migrer vers une cryptographie post-quantique</w:t>
      </w:r>
      <w:r w:rsidRPr="00F5352E">
        <w:t xml:space="preserve"> avant 2030.</w:t>
      </w:r>
    </w:p>
    <w:p w14:paraId="716BEEDB" w14:textId="77777777" w:rsidR="00F5352E" w:rsidRPr="00F5352E" w:rsidRDefault="00F5352E" w:rsidP="00F5352E">
      <w:pPr>
        <w:numPr>
          <w:ilvl w:val="0"/>
          <w:numId w:val="24"/>
        </w:numPr>
      </w:pPr>
      <w:r w:rsidRPr="00F5352E">
        <w:rPr>
          <w:b/>
          <w:bCs/>
        </w:rPr>
        <w:t>Documenter la réversibilité</w:t>
      </w:r>
      <w:r w:rsidRPr="00F5352E">
        <w:t xml:space="preserve"> des contrats (export, effacement, transfert).</w:t>
      </w:r>
    </w:p>
    <w:p w14:paraId="54B72D4F" w14:textId="77777777" w:rsidR="00F5352E" w:rsidRPr="00F5352E" w:rsidRDefault="00F5352E" w:rsidP="00F5352E">
      <w:pPr>
        <w:numPr>
          <w:ilvl w:val="0"/>
          <w:numId w:val="24"/>
        </w:numPr>
      </w:pPr>
      <w:r w:rsidRPr="00F5352E">
        <w:rPr>
          <w:b/>
          <w:bCs/>
        </w:rPr>
        <w:t>Renforcer la cybersécurité</w:t>
      </w:r>
      <w:r w:rsidRPr="00F5352E">
        <w:t xml:space="preserve"> via la segmentation des accès et la supervision automatisée.</w:t>
      </w:r>
    </w:p>
    <w:p w14:paraId="12522351" w14:textId="77777777" w:rsidR="00F5352E" w:rsidRPr="00F5352E" w:rsidRDefault="00F5352E" w:rsidP="00F5352E">
      <w:pPr>
        <w:numPr>
          <w:ilvl w:val="0"/>
          <w:numId w:val="24"/>
        </w:numPr>
      </w:pPr>
      <w:r w:rsidRPr="00F5352E">
        <w:rPr>
          <w:b/>
          <w:bCs/>
        </w:rPr>
        <w:t>Former les équipes</w:t>
      </w:r>
      <w:r w:rsidRPr="00F5352E">
        <w:t xml:space="preserve"> aux enjeux d’interopérabilité, de souveraineté et de durabilité.</w:t>
      </w:r>
    </w:p>
    <w:p w14:paraId="74219850" w14:textId="77777777" w:rsidR="00F5352E" w:rsidRPr="00F5352E" w:rsidRDefault="00F5352E" w:rsidP="00F5352E">
      <w:r w:rsidRPr="00F5352E">
        <w:pict w14:anchorId="116099EB">
          <v:rect id="_x0000_i1105" style="width:0;height:1.5pt" o:hralign="center" o:hrstd="t" o:hr="t" fillcolor="#a0a0a0" stroked="f"/>
        </w:pict>
      </w:r>
    </w:p>
    <w:p w14:paraId="47DD369D" w14:textId="77777777" w:rsidR="00F5352E" w:rsidRPr="00F5352E" w:rsidRDefault="00F5352E" w:rsidP="00F5352E">
      <w:pPr>
        <w:rPr>
          <w:b/>
          <w:bCs/>
        </w:rPr>
      </w:pPr>
      <w:r w:rsidRPr="00F5352E">
        <w:rPr>
          <w:b/>
          <w:bCs/>
        </w:rPr>
        <w:t>Bibliographie sélective (2025)</w:t>
      </w:r>
    </w:p>
    <w:p w14:paraId="0C850120" w14:textId="77777777" w:rsidR="00F5352E" w:rsidRPr="00F5352E" w:rsidRDefault="00F5352E" w:rsidP="00F5352E">
      <w:pPr>
        <w:numPr>
          <w:ilvl w:val="0"/>
          <w:numId w:val="25"/>
        </w:numPr>
      </w:pPr>
      <w:r w:rsidRPr="00F5352E">
        <w:rPr>
          <w:b/>
          <w:bCs/>
        </w:rPr>
        <w:t>Commission européenne (2025)</w:t>
      </w:r>
      <w:r w:rsidRPr="00F5352E">
        <w:t xml:space="preserve"> – </w:t>
      </w:r>
      <w:r w:rsidRPr="00F5352E">
        <w:rPr>
          <w:i/>
          <w:iCs/>
        </w:rPr>
        <w:t xml:space="preserve">Data </w:t>
      </w:r>
      <w:proofErr w:type="spellStart"/>
      <w:r w:rsidRPr="00F5352E">
        <w:rPr>
          <w:i/>
          <w:iCs/>
        </w:rPr>
        <w:t>Act</w:t>
      </w:r>
      <w:proofErr w:type="spellEnd"/>
      <w:r w:rsidRPr="00F5352E">
        <w:t xml:space="preserve"> : portabilité, interopérabilité et accès aux données en cas de crise.</w:t>
      </w:r>
    </w:p>
    <w:p w14:paraId="6588E52A" w14:textId="77777777" w:rsidR="00F5352E" w:rsidRPr="00F5352E" w:rsidRDefault="00F5352E" w:rsidP="00F5352E">
      <w:pPr>
        <w:numPr>
          <w:ilvl w:val="0"/>
          <w:numId w:val="25"/>
        </w:numPr>
      </w:pPr>
      <w:r w:rsidRPr="00F5352E">
        <w:rPr>
          <w:b/>
          <w:bCs/>
        </w:rPr>
        <w:t>Goldman Sachs (2025)</w:t>
      </w:r>
      <w:r w:rsidRPr="00F5352E">
        <w:t xml:space="preserve"> – Étude sur la consommation énergétique des datacenters.</w:t>
      </w:r>
    </w:p>
    <w:p w14:paraId="4FCC7378" w14:textId="77777777" w:rsidR="00F5352E" w:rsidRPr="00F5352E" w:rsidRDefault="00F5352E" w:rsidP="00F5352E">
      <w:pPr>
        <w:numPr>
          <w:ilvl w:val="0"/>
          <w:numId w:val="25"/>
        </w:numPr>
      </w:pPr>
      <w:r w:rsidRPr="00F5352E">
        <w:rPr>
          <w:b/>
          <w:bCs/>
        </w:rPr>
        <w:t>CBRE (2025)</w:t>
      </w:r>
      <w:r w:rsidRPr="00F5352E">
        <w:t xml:space="preserve"> – Rapport sur l’évolution des coûts d’infrastructure cloud.</w:t>
      </w:r>
    </w:p>
    <w:p w14:paraId="71769C0E" w14:textId="77777777" w:rsidR="00F5352E" w:rsidRPr="00F5352E" w:rsidRDefault="00F5352E" w:rsidP="00F5352E">
      <w:pPr>
        <w:numPr>
          <w:ilvl w:val="0"/>
          <w:numId w:val="25"/>
        </w:numPr>
      </w:pPr>
      <w:r w:rsidRPr="00F5352E">
        <w:rPr>
          <w:b/>
          <w:bCs/>
        </w:rPr>
        <w:t>Le Monde Informatique (janv.–oct. 2025)</w:t>
      </w:r>
      <w:r w:rsidRPr="00F5352E">
        <w:t xml:space="preserve"> – Dossiers sur souveraineté numérique, sécurité post-quantique et Data </w:t>
      </w:r>
      <w:proofErr w:type="spellStart"/>
      <w:r w:rsidRPr="00F5352E">
        <w:t>Act</w:t>
      </w:r>
      <w:proofErr w:type="spellEnd"/>
      <w:r w:rsidRPr="00F5352E">
        <w:t>.</w:t>
      </w:r>
    </w:p>
    <w:p w14:paraId="6E4DC0A4" w14:textId="77777777" w:rsidR="00F5352E" w:rsidRPr="00F5352E" w:rsidRDefault="00F5352E" w:rsidP="00F5352E">
      <w:pPr>
        <w:numPr>
          <w:ilvl w:val="0"/>
          <w:numId w:val="25"/>
        </w:numPr>
      </w:pPr>
      <w:r w:rsidRPr="00F5352E">
        <w:rPr>
          <w:b/>
          <w:bCs/>
        </w:rPr>
        <w:t>Usine Digitale (2025)</w:t>
      </w:r>
      <w:r w:rsidRPr="00F5352E">
        <w:t xml:space="preserve"> – Articles sur la migration européenne vers des clouds souverains.</w:t>
      </w:r>
    </w:p>
    <w:p w14:paraId="37E441A6" w14:textId="77777777" w:rsidR="00F5352E" w:rsidRPr="00F5352E" w:rsidRDefault="00F5352E" w:rsidP="00F5352E">
      <w:pPr>
        <w:numPr>
          <w:ilvl w:val="0"/>
          <w:numId w:val="25"/>
        </w:numPr>
      </w:pPr>
      <w:r w:rsidRPr="00F5352E">
        <w:rPr>
          <w:b/>
          <w:bCs/>
        </w:rPr>
        <w:t>ANSSI (2025)</w:t>
      </w:r>
      <w:r w:rsidRPr="00F5352E">
        <w:t xml:space="preserve"> – Communication sur la transition post-quantique et la sécurité du cloud.</w:t>
      </w:r>
    </w:p>
    <w:p w14:paraId="354E3D43" w14:textId="77777777" w:rsidR="001E273A" w:rsidRPr="007C05B7" w:rsidRDefault="001E273A" w:rsidP="007C05B7"/>
    <w:sectPr w:rsidR="001E273A" w:rsidRPr="007C05B7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7D69" w14:textId="77777777" w:rsidR="000B5839" w:rsidRDefault="000B5839" w:rsidP="004C7BF0">
      <w:r>
        <w:separator/>
      </w:r>
    </w:p>
  </w:endnote>
  <w:endnote w:type="continuationSeparator" w:id="0">
    <w:p w14:paraId="0A0FA782" w14:textId="77777777" w:rsidR="000B5839" w:rsidRDefault="000B5839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00E0" w14:textId="77777777" w:rsidR="000B5839" w:rsidRDefault="000B5839" w:rsidP="004C7BF0">
      <w:r>
        <w:separator/>
      </w:r>
    </w:p>
  </w:footnote>
  <w:footnote w:type="continuationSeparator" w:id="0">
    <w:p w14:paraId="5F2DF90E" w14:textId="77777777" w:rsidR="000B5839" w:rsidRDefault="000B5839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31B79"/>
    <w:multiLevelType w:val="multilevel"/>
    <w:tmpl w:val="46CC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324E2"/>
    <w:multiLevelType w:val="multilevel"/>
    <w:tmpl w:val="428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24D9A"/>
    <w:multiLevelType w:val="multilevel"/>
    <w:tmpl w:val="9E00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44244"/>
    <w:multiLevelType w:val="multilevel"/>
    <w:tmpl w:val="E3C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B0307"/>
    <w:multiLevelType w:val="multilevel"/>
    <w:tmpl w:val="A39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D5713"/>
    <w:multiLevelType w:val="multilevel"/>
    <w:tmpl w:val="619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30E07"/>
    <w:multiLevelType w:val="multilevel"/>
    <w:tmpl w:val="B224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16AC6"/>
    <w:multiLevelType w:val="multilevel"/>
    <w:tmpl w:val="D25C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D0FB1"/>
    <w:multiLevelType w:val="multilevel"/>
    <w:tmpl w:val="43F8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8407E"/>
    <w:multiLevelType w:val="multilevel"/>
    <w:tmpl w:val="DDF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F3C5D"/>
    <w:multiLevelType w:val="multilevel"/>
    <w:tmpl w:val="0924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4395B"/>
    <w:multiLevelType w:val="multilevel"/>
    <w:tmpl w:val="4A3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1C61D9"/>
    <w:multiLevelType w:val="multilevel"/>
    <w:tmpl w:val="3B2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A1320"/>
    <w:multiLevelType w:val="multilevel"/>
    <w:tmpl w:val="B7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736464"/>
    <w:multiLevelType w:val="multilevel"/>
    <w:tmpl w:val="3A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15B99"/>
    <w:multiLevelType w:val="multilevel"/>
    <w:tmpl w:val="6ED2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7"/>
  </w:num>
  <w:num w:numId="2" w16cid:durableId="1969772821">
    <w:abstractNumId w:val="5"/>
  </w:num>
  <w:num w:numId="3" w16cid:durableId="993755049">
    <w:abstractNumId w:val="12"/>
  </w:num>
  <w:num w:numId="4" w16cid:durableId="88350905">
    <w:abstractNumId w:val="23"/>
  </w:num>
  <w:num w:numId="5" w16cid:durableId="1259873310">
    <w:abstractNumId w:val="0"/>
  </w:num>
  <w:num w:numId="6" w16cid:durableId="940913695">
    <w:abstractNumId w:val="10"/>
  </w:num>
  <w:num w:numId="7" w16cid:durableId="816412162">
    <w:abstractNumId w:val="13"/>
  </w:num>
  <w:num w:numId="8" w16cid:durableId="164636122">
    <w:abstractNumId w:val="21"/>
  </w:num>
  <w:num w:numId="9" w16cid:durableId="1391228641">
    <w:abstractNumId w:val="9"/>
  </w:num>
  <w:num w:numId="10" w16cid:durableId="1693265206">
    <w:abstractNumId w:val="7"/>
  </w:num>
  <w:num w:numId="11" w16cid:durableId="1273130144">
    <w:abstractNumId w:val="4"/>
  </w:num>
  <w:num w:numId="12" w16cid:durableId="1490556548">
    <w:abstractNumId w:val="20"/>
  </w:num>
  <w:num w:numId="13" w16cid:durableId="1488012275">
    <w:abstractNumId w:val="19"/>
  </w:num>
  <w:num w:numId="14" w16cid:durableId="669020599">
    <w:abstractNumId w:val="2"/>
  </w:num>
  <w:num w:numId="15" w16cid:durableId="818350440">
    <w:abstractNumId w:val="15"/>
  </w:num>
  <w:num w:numId="16" w16cid:durableId="1939824947">
    <w:abstractNumId w:val="22"/>
  </w:num>
  <w:num w:numId="17" w16cid:durableId="1070540375">
    <w:abstractNumId w:val="24"/>
  </w:num>
  <w:num w:numId="18" w16cid:durableId="1330139616">
    <w:abstractNumId w:val="3"/>
  </w:num>
  <w:num w:numId="19" w16cid:durableId="550699500">
    <w:abstractNumId w:val="14"/>
  </w:num>
  <w:num w:numId="20" w16cid:durableId="2052266999">
    <w:abstractNumId w:val="18"/>
  </w:num>
  <w:num w:numId="21" w16cid:durableId="476532589">
    <w:abstractNumId w:val="1"/>
  </w:num>
  <w:num w:numId="22" w16cid:durableId="481124906">
    <w:abstractNumId w:val="11"/>
  </w:num>
  <w:num w:numId="23" w16cid:durableId="1392073945">
    <w:abstractNumId w:val="6"/>
  </w:num>
  <w:num w:numId="24" w16cid:durableId="1208493320">
    <w:abstractNumId w:val="8"/>
  </w:num>
  <w:num w:numId="25" w16cid:durableId="1033263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F1A"/>
    <w:rsid w:val="0007241A"/>
    <w:rsid w:val="000B5839"/>
    <w:rsid w:val="00135CDD"/>
    <w:rsid w:val="001D0EEB"/>
    <w:rsid w:val="001E273A"/>
    <w:rsid w:val="00316764"/>
    <w:rsid w:val="003276BD"/>
    <w:rsid w:val="00346F55"/>
    <w:rsid w:val="0044368F"/>
    <w:rsid w:val="004A6242"/>
    <w:rsid w:val="004C7BF0"/>
    <w:rsid w:val="004D247E"/>
    <w:rsid w:val="005172DB"/>
    <w:rsid w:val="00580F46"/>
    <w:rsid w:val="00610609"/>
    <w:rsid w:val="00620090"/>
    <w:rsid w:val="006460AB"/>
    <w:rsid w:val="00677D09"/>
    <w:rsid w:val="006B7971"/>
    <w:rsid w:val="00713AC4"/>
    <w:rsid w:val="007C05B7"/>
    <w:rsid w:val="00830A03"/>
    <w:rsid w:val="008608D3"/>
    <w:rsid w:val="0088339F"/>
    <w:rsid w:val="00964131"/>
    <w:rsid w:val="00B649B3"/>
    <w:rsid w:val="00CA4633"/>
    <w:rsid w:val="00CE15A3"/>
    <w:rsid w:val="00D016DC"/>
    <w:rsid w:val="00F47F65"/>
    <w:rsid w:val="00F5352E"/>
    <w:rsid w:val="00F71310"/>
    <w:rsid w:val="00FC180F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2024-10-21T05:24:00Z</cp:lastPrinted>
  <dcterms:created xsi:type="dcterms:W3CDTF">2024-11-16T09:17:00Z</dcterms:created>
  <dcterms:modified xsi:type="dcterms:W3CDTF">2025-10-17T05:47:00Z</dcterms:modified>
</cp:coreProperties>
</file>