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7F60" w14:textId="77777777" w:rsidR="00262594" w:rsidRPr="00262594" w:rsidRDefault="00262594" w:rsidP="00CB2773">
      <w:pPr>
        <w:pStyle w:val="Titre"/>
        <w:spacing w:after="0"/>
      </w:pPr>
      <w:proofErr w:type="spellStart"/>
      <w:r w:rsidRPr="00262594">
        <w:t>Cybersecurity</w:t>
      </w:r>
      <w:proofErr w:type="spellEnd"/>
      <w:r w:rsidRPr="00262594">
        <w:t xml:space="preserve"> Act</w:t>
      </w:r>
    </w:p>
    <w:p w14:paraId="0436729A" w14:textId="77777777" w:rsidR="00262594" w:rsidRPr="00262594" w:rsidRDefault="00262594" w:rsidP="00CB2773">
      <w:pPr>
        <w:spacing w:after="0" w:line="240" w:lineRule="auto"/>
      </w:pPr>
      <w:r w:rsidRPr="00262594">
        <w:t>Règlement (UE) 2019/881 du 17 avril 2019</w:t>
      </w:r>
    </w:p>
    <w:p w14:paraId="37D72090" w14:textId="6F060D67" w:rsidR="00262594" w:rsidRPr="00262594" w:rsidRDefault="00262594" w:rsidP="00CB2773">
      <w:pPr>
        <w:spacing w:after="0" w:line="240" w:lineRule="auto"/>
      </w:pPr>
      <w:r w:rsidRPr="00262594">
        <w:t>Source officielle</w:t>
      </w:r>
      <w:r w:rsidR="00CB2773">
        <w:t> :</w:t>
      </w:r>
      <w:r w:rsidRPr="00262594">
        <w:t xml:space="preserve"> Journal officiel de l’Union européenne (JOUE L 151 du 7 juin 2019)</w:t>
      </w:r>
    </w:p>
    <w:p w14:paraId="53090B01" w14:textId="77777777" w:rsidR="00262594" w:rsidRPr="00262594" w:rsidRDefault="00262594" w:rsidP="00CB2773">
      <w:pPr>
        <w:pStyle w:val="Titre1"/>
        <w:spacing w:before="0" w:after="0" w:line="240" w:lineRule="auto"/>
      </w:pPr>
      <w:r w:rsidRPr="00262594">
        <w:t>1) Objet et finalités du règlement</w:t>
      </w:r>
    </w:p>
    <w:p w14:paraId="1CF80546" w14:textId="77777777" w:rsidR="00262594" w:rsidRPr="00262594" w:rsidRDefault="00262594" w:rsidP="00CB2773">
      <w:pPr>
        <w:spacing w:after="0" w:line="240" w:lineRule="auto"/>
      </w:pPr>
      <w:r w:rsidRPr="00262594">
        <w:rPr>
          <w:noProof/>
        </w:rPr>
        <mc:AlternateContent>
          <mc:Choice Requires="wps">
            <w:drawing>
              <wp:inline distT="0" distB="0" distL="0" distR="0" wp14:anchorId="372EACF4" wp14:editId="653AA1FE">
                <wp:extent cx="304800" cy="304800"/>
                <wp:effectExtent l="0" t="0" r="0" b="0"/>
                <wp:docPr id="1422383472" name="Rectangle 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10E857" id="Rectangle 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262594">
        <w:rPr>
          <w:noProof/>
        </w:rPr>
        <w:drawing>
          <wp:inline distT="0" distB="0" distL="0" distR="0" wp14:anchorId="6C7E84BA" wp14:editId="3F141B7B">
            <wp:extent cx="4076700" cy="4129285"/>
            <wp:effectExtent l="0" t="0" r="0" b="5080"/>
            <wp:docPr id="1390183032" name="Imag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0535" cy="4143299"/>
                    </a:xfrm>
                    <a:prstGeom prst="rect">
                      <a:avLst/>
                    </a:prstGeom>
                    <a:noFill/>
                    <a:ln>
                      <a:noFill/>
                    </a:ln>
                  </pic:spPr>
                </pic:pic>
              </a:graphicData>
            </a:graphic>
          </wp:inline>
        </w:drawing>
      </w:r>
    </w:p>
    <w:p w14:paraId="71EF1516" w14:textId="77777777" w:rsidR="00262594" w:rsidRPr="00262594" w:rsidRDefault="00262594" w:rsidP="00CB2773">
      <w:pPr>
        <w:spacing w:after="0" w:line="240" w:lineRule="auto"/>
      </w:pPr>
      <w:r w:rsidRPr="00262594">
        <w:rPr>
          <w:noProof/>
        </w:rPr>
        <w:drawing>
          <wp:inline distT="0" distB="0" distL="0" distR="0" wp14:anchorId="4CB6C35D" wp14:editId="67F34DF9">
            <wp:extent cx="6645910" cy="3605530"/>
            <wp:effectExtent l="0" t="0" r="2540" b="0"/>
            <wp:docPr id="2114372614" name="Imag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3605530"/>
                    </a:xfrm>
                    <a:prstGeom prst="rect">
                      <a:avLst/>
                    </a:prstGeom>
                    <a:noFill/>
                    <a:ln>
                      <a:noFill/>
                    </a:ln>
                  </pic:spPr>
                </pic:pic>
              </a:graphicData>
            </a:graphic>
          </wp:inline>
        </w:drawing>
      </w:r>
    </w:p>
    <w:p w14:paraId="7C08D1D8" w14:textId="77777777" w:rsidR="00262594" w:rsidRDefault="00262594" w:rsidP="00CB2773">
      <w:pPr>
        <w:spacing w:after="0" w:line="240" w:lineRule="auto"/>
      </w:pPr>
      <w:r>
        <w:br w:type="page"/>
      </w:r>
    </w:p>
    <w:p w14:paraId="79673830" w14:textId="02635810" w:rsidR="00262594" w:rsidRPr="00262594" w:rsidRDefault="00262594" w:rsidP="00CB2773">
      <w:pPr>
        <w:spacing w:after="0" w:line="240" w:lineRule="auto"/>
      </w:pPr>
      <w:r w:rsidRPr="00262594">
        <w:lastRenderedPageBreak/>
        <w:t>Le règlement (UE) 2019/881 poursuit un double objectif</w:t>
      </w:r>
      <w:r w:rsidR="00CB2773">
        <w:t> :</w:t>
      </w:r>
    </w:p>
    <w:p w14:paraId="07E378DC" w14:textId="77777777" w:rsidR="00262594" w:rsidRDefault="00262594" w:rsidP="00CB2773">
      <w:pPr>
        <w:spacing w:after="0" w:line="240" w:lineRule="auto"/>
      </w:pPr>
      <w:r w:rsidRPr="00262594">
        <w:t xml:space="preserve">• </w:t>
      </w:r>
      <w:r w:rsidRPr="00262594">
        <w:rPr>
          <w:b/>
          <w:bCs/>
        </w:rPr>
        <w:t>Renforcer le mandat de l’ENISA</w:t>
      </w:r>
      <w:r w:rsidRPr="00262594">
        <w:t xml:space="preserve"> (Agence de l’Union européenne pour la cybersécurité).</w:t>
      </w:r>
    </w:p>
    <w:p w14:paraId="3CA0474B" w14:textId="6FB740FB" w:rsidR="00262594" w:rsidRPr="00262594" w:rsidRDefault="00262594" w:rsidP="00CB2773">
      <w:pPr>
        <w:spacing w:after="0" w:line="240" w:lineRule="auto"/>
      </w:pPr>
      <w:r>
        <w:t>• Instaurer un cadre européen de certification de cybersécurité pour les produits, services et processus TIC</w:t>
      </w:r>
      <w:r w:rsidR="00CB2773">
        <w:t> ;</w:t>
      </w:r>
      <w:r>
        <w:t xml:space="preserve"> le champ a été étendu aux services de sécurité gérés par une modification entrée en application en 2025.</w:t>
      </w:r>
    </w:p>
    <w:p w14:paraId="6BDBEB00" w14:textId="77777777" w:rsidR="00262594" w:rsidRPr="00262594" w:rsidRDefault="00262594" w:rsidP="00CB2773">
      <w:pPr>
        <w:spacing w:after="0" w:line="240" w:lineRule="auto"/>
      </w:pPr>
      <w:r w:rsidRPr="00262594">
        <w:t>Il vise à garantir un niveau élevé commun de cybersécurité au sein du marché intérieur et à limiter la fragmentation réglementaire entre États membres.</w:t>
      </w:r>
    </w:p>
    <w:p w14:paraId="6ED34846" w14:textId="77777777" w:rsidR="00262594" w:rsidRPr="00262594" w:rsidRDefault="00262594" w:rsidP="00CB2773">
      <w:pPr>
        <w:pStyle w:val="Titre1"/>
        <w:spacing w:before="0" w:after="0" w:line="240" w:lineRule="auto"/>
      </w:pPr>
      <w:r w:rsidRPr="00262594">
        <w:t>2) Renforcement de l’ENISA</w:t>
      </w:r>
    </w:p>
    <w:p w14:paraId="3A888736" w14:textId="77777777" w:rsidR="00262594" w:rsidRPr="00262594" w:rsidRDefault="00262594" w:rsidP="00CB2773">
      <w:pPr>
        <w:spacing w:after="0" w:line="240" w:lineRule="auto"/>
      </w:pPr>
      <w:r w:rsidRPr="00262594">
        <w:t xml:space="preserve">Le règlement transforme l’Agence de l'Union européenne pour la cybersécurité en agence dotée d’un </w:t>
      </w:r>
      <w:r w:rsidRPr="00262594">
        <w:rPr>
          <w:b/>
          <w:bCs/>
        </w:rPr>
        <w:t>mandat permanent</w:t>
      </w:r>
      <w:r w:rsidRPr="00262594">
        <w:t>.</w:t>
      </w:r>
    </w:p>
    <w:p w14:paraId="22B7FE1B" w14:textId="0D8FB212" w:rsidR="00262594" w:rsidRPr="00262594" w:rsidRDefault="00262594" w:rsidP="00CB2773">
      <w:pPr>
        <w:spacing w:after="0" w:line="240" w:lineRule="auto"/>
      </w:pPr>
      <w:r w:rsidRPr="00262594">
        <w:t>Ses missions comprennent notamment</w:t>
      </w:r>
      <w:r w:rsidR="00CB2773">
        <w:t> :</w:t>
      </w:r>
    </w:p>
    <w:p w14:paraId="079C2356" w14:textId="77777777" w:rsidR="00262594" w:rsidRDefault="00262594" w:rsidP="00CB2773">
      <w:pPr>
        <w:spacing w:after="0" w:line="240" w:lineRule="auto"/>
      </w:pPr>
      <w:r w:rsidRPr="00262594">
        <w:t>• Assistance aux États membres dans la mise en œuvre des politiques de cybersécurité.</w:t>
      </w:r>
    </w:p>
    <w:p w14:paraId="0C043F56" w14:textId="77777777" w:rsidR="00262594" w:rsidRDefault="00262594" w:rsidP="00CB2773">
      <w:pPr>
        <w:spacing w:after="0" w:line="240" w:lineRule="auto"/>
      </w:pPr>
      <w:r w:rsidRPr="00262594">
        <w:t>• Contribution à la coopération opérationnelle en cas d’incident ou de crise cyber majeure.</w:t>
      </w:r>
    </w:p>
    <w:p w14:paraId="19FE7659" w14:textId="77777777" w:rsidR="00262594" w:rsidRDefault="00262594" w:rsidP="00CB2773">
      <w:pPr>
        <w:spacing w:after="0" w:line="240" w:lineRule="auto"/>
      </w:pPr>
      <w:r w:rsidRPr="00262594">
        <w:t>• Élaboration et préparation des schémas européens de certification.</w:t>
      </w:r>
    </w:p>
    <w:p w14:paraId="520EFF56" w14:textId="77777777" w:rsidR="00262594" w:rsidRPr="00262594" w:rsidRDefault="00262594" w:rsidP="00CB2773">
      <w:pPr>
        <w:spacing w:after="0" w:line="240" w:lineRule="auto"/>
      </w:pPr>
      <w:r w:rsidRPr="00262594">
        <w:t>• Soutien à la normalisation et à la sensibilisation en matière de cybersécurité.</w:t>
      </w:r>
    </w:p>
    <w:p w14:paraId="24665944" w14:textId="77777777" w:rsidR="00262594" w:rsidRPr="00262594" w:rsidRDefault="00262594" w:rsidP="00CB2773">
      <w:pPr>
        <w:spacing w:after="0" w:line="240" w:lineRule="auto"/>
      </w:pPr>
      <w:r w:rsidRPr="00262594">
        <w:t>L’ENISA agit comme organe de coordination et d’expertise technique au niveau européen.</w:t>
      </w:r>
    </w:p>
    <w:p w14:paraId="057B4313" w14:textId="77777777" w:rsidR="00262594" w:rsidRPr="00262594" w:rsidRDefault="00262594" w:rsidP="00CB2773">
      <w:pPr>
        <w:pStyle w:val="Titre1"/>
        <w:spacing w:before="0" w:after="0" w:line="240" w:lineRule="auto"/>
      </w:pPr>
      <w:r w:rsidRPr="00262594">
        <w:t>3) Cadre européen de certification de cybersécurité</w:t>
      </w:r>
    </w:p>
    <w:p w14:paraId="64C8DA4F" w14:textId="3F4D238A" w:rsidR="00262594" w:rsidRPr="00262594" w:rsidRDefault="00262594" w:rsidP="00CB2773">
      <w:pPr>
        <w:spacing w:after="0" w:line="240" w:lineRule="auto"/>
      </w:pPr>
      <w:r>
        <w:t>La certification repose en principe sur le volontariat, sauf disposition contraire du droit de l’Union ou du droit national</w:t>
      </w:r>
      <w:r w:rsidR="00CB2773">
        <w:t> ;</w:t>
      </w:r>
      <w:r>
        <w:t xml:space="preserve"> les schémas de certification ne se substituent pas aux obligations légales applicables aux entreprises ou aux fabricants.</w:t>
      </w:r>
    </w:p>
    <w:p w14:paraId="086C0190" w14:textId="77777777" w:rsidR="00262594" w:rsidRPr="00262594" w:rsidRDefault="00262594" w:rsidP="00CB2773">
      <w:pPr>
        <w:pStyle w:val="Titre2"/>
        <w:spacing w:before="0" w:after="0" w:line="240" w:lineRule="auto"/>
      </w:pPr>
      <w:r w:rsidRPr="00262594">
        <w:t>3.1 Principe</w:t>
      </w:r>
    </w:p>
    <w:p w14:paraId="3284A444" w14:textId="77777777" w:rsidR="00262594" w:rsidRPr="00262594" w:rsidRDefault="00262594" w:rsidP="00CB2773">
      <w:pPr>
        <w:spacing w:after="0" w:line="240" w:lineRule="auto"/>
      </w:pPr>
      <w:r w:rsidRPr="00262594">
        <w:t xml:space="preserve">Une certification obtenue dans un État membre est </w:t>
      </w:r>
      <w:r w:rsidRPr="00262594">
        <w:rPr>
          <w:b/>
          <w:bCs/>
        </w:rPr>
        <w:t>valable dans toute l’Union européenne</w:t>
      </w:r>
      <w:r w:rsidRPr="00262594">
        <w:t xml:space="preserve"> (principe de reconnaissance mutuelle).</w:t>
      </w:r>
    </w:p>
    <w:p w14:paraId="259E8BF6" w14:textId="77777777" w:rsidR="00262594" w:rsidRPr="00262594" w:rsidRDefault="00262594" w:rsidP="00CB2773">
      <w:pPr>
        <w:pStyle w:val="Titre2"/>
        <w:spacing w:before="0" w:after="0" w:line="240" w:lineRule="auto"/>
      </w:pPr>
      <w:r w:rsidRPr="00262594">
        <w:t>3.2 Niveaux d’assurance</w:t>
      </w:r>
    </w:p>
    <w:p w14:paraId="4E6C2C3D" w14:textId="413A4FD1" w:rsidR="00262594" w:rsidRPr="00262594" w:rsidRDefault="00262594" w:rsidP="00CB2773">
      <w:pPr>
        <w:spacing w:after="0" w:line="240" w:lineRule="auto"/>
      </w:pPr>
      <w:r w:rsidRPr="00262594">
        <w:t>Trois niveaux d’assurance sont prévus</w:t>
      </w:r>
      <w:r w:rsidR="00CB2773">
        <w:t> :</w:t>
      </w:r>
    </w:p>
    <w:tbl>
      <w:tblPr>
        <w:tblStyle w:val="Grilledutableau"/>
        <w:tblW w:w="0" w:type="auto"/>
        <w:tblLook w:val="04A0" w:firstRow="1" w:lastRow="0" w:firstColumn="1" w:lastColumn="0" w:noHBand="0" w:noVBand="1"/>
      </w:tblPr>
      <w:tblGrid>
        <w:gridCol w:w="1114"/>
        <w:gridCol w:w="4933"/>
        <w:gridCol w:w="2833"/>
      </w:tblGrid>
      <w:tr w:rsidR="00262594" w:rsidRPr="00CB2773" w14:paraId="180BFEF8" w14:textId="77777777" w:rsidTr="00CB2773">
        <w:trPr>
          <w:tblHeader/>
        </w:trPr>
        <w:tc>
          <w:tcPr>
            <w:tcW w:w="0" w:type="auto"/>
            <w:hideMark/>
          </w:tcPr>
          <w:p w14:paraId="26EA1221" w14:textId="77777777" w:rsidR="00262594" w:rsidRPr="00CB2773" w:rsidRDefault="00262594" w:rsidP="00CB2773">
            <w:pPr>
              <w:jc w:val="left"/>
              <w:rPr>
                <w:rFonts w:ascii="Calibri" w:hAnsi="Calibri"/>
                <w:b/>
                <w:bCs/>
                <w:sz w:val="20"/>
              </w:rPr>
            </w:pPr>
            <w:r w:rsidRPr="00CB2773">
              <w:rPr>
                <w:rFonts w:ascii="Calibri" w:hAnsi="Calibri"/>
                <w:b/>
                <w:bCs/>
                <w:sz w:val="20"/>
              </w:rPr>
              <w:t>Niveau</w:t>
            </w:r>
          </w:p>
        </w:tc>
        <w:tc>
          <w:tcPr>
            <w:tcW w:w="0" w:type="auto"/>
            <w:hideMark/>
          </w:tcPr>
          <w:p w14:paraId="7CC63A07" w14:textId="77777777" w:rsidR="00262594" w:rsidRPr="00CB2773" w:rsidRDefault="00262594" w:rsidP="00CB2773">
            <w:pPr>
              <w:jc w:val="left"/>
              <w:rPr>
                <w:rFonts w:ascii="Calibri" w:hAnsi="Calibri"/>
                <w:b/>
                <w:bCs/>
                <w:sz w:val="20"/>
              </w:rPr>
            </w:pPr>
            <w:r w:rsidRPr="00CB2773">
              <w:rPr>
                <w:rFonts w:ascii="Calibri" w:hAnsi="Calibri"/>
                <w:b/>
                <w:bCs/>
                <w:sz w:val="20"/>
              </w:rPr>
              <w:t>Objet</w:t>
            </w:r>
          </w:p>
        </w:tc>
        <w:tc>
          <w:tcPr>
            <w:tcW w:w="0" w:type="auto"/>
            <w:hideMark/>
          </w:tcPr>
          <w:p w14:paraId="5BAD07AA" w14:textId="77777777" w:rsidR="00262594" w:rsidRPr="00CB2773" w:rsidRDefault="00262594" w:rsidP="00CB2773">
            <w:pPr>
              <w:jc w:val="left"/>
              <w:rPr>
                <w:rFonts w:ascii="Calibri" w:hAnsi="Calibri"/>
                <w:b/>
                <w:bCs/>
                <w:sz w:val="20"/>
              </w:rPr>
            </w:pPr>
            <w:r w:rsidRPr="00CB2773">
              <w:rPr>
                <w:rFonts w:ascii="Calibri" w:hAnsi="Calibri"/>
                <w:b/>
                <w:bCs/>
                <w:sz w:val="20"/>
              </w:rPr>
              <w:t>Portée du contrôle</w:t>
            </w:r>
          </w:p>
        </w:tc>
      </w:tr>
      <w:tr w:rsidR="00262594" w:rsidRPr="00CB2773" w14:paraId="2FA00804" w14:textId="77777777" w:rsidTr="00CB2773">
        <w:tc>
          <w:tcPr>
            <w:tcW w:w="0" w:type="auto"/>
            <w:hideMark/>
          </w:tcPr>
          <w:p w14:paraId="1F412D63" w14:textId="77777777" w:rsidR="00262594" w:rsidRPr="00CB2773" w:rsidRDefault="00262594" w:rsidP="00CB2773">
            <w:pPr>
              <w:jc w:val="left"/>
              <w:rPr>
                <w:rFonts w:ascii="Calibri" w:hAnsi="Calibri"/>
                <w:sz w:val="20"/>
              </w:rPr>
            </w:pPr>
            <w:r w:rsidRPr="00CB2773">
              <w:rPr>
                <w:rFonts w:ascii="Calibri" w:hAnsi="Calibri"/>
                <w:sz w:val="20"/>
              </w:rPr>
              <w:t>Basique</w:t>
            </w:r>
          </w:p>
        </w:tc>
        <w:tc>
          <w:tcPr>
            <w:tcW w:w="0" w:type="auto"/>
            <w:hideMark/>
          </w:tcPr>
          <w:p w14:paraId="2276F8C5" w14:textId="77777777" w:rsidR="00262594" w:rsidRPr="00CB2773" w:rsidRDefault="00262594" w:rsidP="00CB2773">
            <w:pPr>
              <w:jc w:val="left"/>
              <w:rPr>
                <w:rFonts w:ascii="Calibri" w:hAnsi="Calibri"/>
                <w:sz w:val="20"/>
              </w:rPr>
            </w:pPr>
            <w:r w:rsidRPr="00CB2773">
              <w:rPr>
                <w:rFonts w:ascii="Calibri" w:hAnsi="Calibri"/>
                <w:sz w:val="20"/>
              </w:rPr>
              <w:t>Protection contre risques faibles</w:t>
            </w:r>
          </w:p>
        </w:tc>
        <w:tc>
          <w:tcPr>
            <w:tcW w:w="0" w:type="auto"/>
            <w:hideMark/>
          </w:tcPr>
          <w:p w14:paraId="4932742F" w14:textId="77777777" w:rsidR="00262594" w:rsidRPr="00CB2773" w:rsidRDefault="00262594" w:rsidP="00CB2773">
            <w:pPr>
              <w:jc w:val="left"/>
              <w:rPr>
                <w:rFonts w:ascii="Calibri" w:hAnsi="Calibri"/>
                <w:sz w:val="20"/>
              </w:rPr>
            </w:pPr>
            <w:r w:rsidRPr="00CB2773">
              <w:rPr>
                <w:rFonts w:ascii="Calibri" w:hAnsi="Calibri"/>
                <w:sz w:val="20"/>
              </w:rPr>
              <w:t>Évaluation limitée</w:t>
            </w:r>
          </w:p>
        </w:tc>
      </w:tr>
      <w:tr w:rsidR="00262594" w:rsidRPr="00CB2773" w14:paraId="1847A350" w14:textId="77777777" w:rsidTr="00CB2773">
        <w:tc>
          <w:tcPr>
            <w:tcW w:w="0" w:type="auto"/>
            <w:hideMark/>
          </w:tcPr>
          <w:p w14:paraId="29604C3C" w14:textId="77777777" w:rsidR="00262594" w:rsidRPr="00CB2773" w:rsidRDefault="00262594" w:rsidP="00CB2773">
            <w:pPr>
              <w:jc w:val="left"/>
              <w:rPr>
                <w:rFonts w:ascii="Calibri" w:hAnsi="Calibri"/>
                <w:sz w:val="20"/>
              </w:rPr>
            </w:pPr>
            <w:r w:rsidRPr="00CB2773">
              <w:rPr>
                <w:rFonts w:ascii="Calibri" w:hAnsi="Calibri"/>
                <w:sz w:val="20"/>
              </w:rPr>
              <w:t>Substantiel</w:t>
            </w:r>
          </w:p>
        </w:tc>
        <w:tc>
          <w:tcPr>
            <w:tcW w:w="0" w:type="auto"/>
            <w:hideMark/>
          </w:tcPr>
          <w:p w14:paraId="6E5957E9" w14:textId="77777777" w:rsidR="00262594" w:rsidRPr="00CB2773" w:rsidRDefault="00262594" w:rsidP="00CB2773">
            <w:pPr>
              <w:jc w:val="left"/>
              <w:rPr>
                <w:rFonts w:ascii="Calibri" w:hAnsi="Calibri"/>
                <w:sz w:val="20"/>
              </w:rPr>
            </w:pPr>
            <w:r w:rsidRPr="00CB2773">
              <w:rPr>
                <w:rFonts w:ascii="Calibri" w:hAnsi="Calibri"/>
                <w:sz w:val="20"/>
              </w:rPr>
              <w:t>Protection contre risques modérés</w:t>
            </w:r>
          </w:p>
        </w:tc>
        <w:tc>
          <w:tcPr>
            <w:tcW w:w="0" w:type="auto"/>
            <w:hideMark/>
          </w:tcPr>
          <w:p w14:paraId="748E75BC" w14:textId="77777777" w:rsidR="00262594" w:rsidRPr="00CB2773" w:rsidRDefault="00262594" w:rsidP="00CB2773">
            <w:pPr>
              <w:jc w:val="left"/>
              <w:rPr>
                <w:rFonts w:ascii="Calibri" w:hAnsi="Calibri"/>
                <w:sz w:val="20"/>
              </w:rPr>
            </w:pPr>
            <w:r w:rsidRPr="00CB2773">
              <w:rPr>
                <w:rFonts w:ascii="Calibri" w:hAnsi="Calibri"/>
                <w:sz w:val="20"/>
              </w:rPr>
              <w:t>Vérifications approfondies</w:t>
            </w:r>
          </w:p>
        </w:tc>
      </w:tr>
      <w:tr w:rsidR="00262594" w:rsidRPr="00CB2773" w14:paraId="37815A38" w14:textId="77777777" w:rsidTr="00CB2773">
        <w:tc>
          <w:tcPr>
            <w:tcW w:w="0" w:type="auto"/>
            <w:hideMark/>
          </w:tcPr>
          <w:p w14:paraId="0F50EAD7" w14:textId="77777777" w:rsidR="00262594" w:rsidRPr="00CB2773" w:rsidRDefault="00262594" w:rsidP="00CB2773">
            <w:pPr>
              <w:jc w:val="left"/>
              <w:rPr>
                <w:rFonts w:ascii="Calibri" w:hAnsi="Calibri"/>
                <w:sz w:val="20"/>
              </w:rPr>
            </w:pPr>
            <w:r w:rsidRPr="00CB2773">
              <w:rPr>
                <w:rFonts w:ascii="Calibri" w:hAnsi="Calibri"/>
                <w:sz w:val="20"/>
              </w:rPr>
              <w:t>Élevé</w:t>
            </w:r>
          </w:p>
        </w:tc>
        <w:tc>
          <w:tcPr>
            <w:tcW w:w="0" w:type="auto"/>
            <w:hideMark/>
          </w:tcPr>
          <w:p w14:paraId="2E4DE51E" w14:textId="77777777" w:rsidR="00262594" w:rsidRPr="00CB2773" w:rsidRDefault="00262594" w:rsidP="00CB2773">
            <w:pPr>
              <w:jc w:val="left"/>
              <w:rPr>
                <w:rFonts w:ascii="Calibri" w:hAnsi="Calibri"/>
                <w:sz w:val="20"/>
              </w:rPr>
            </w:pPr>
            <w:r w:rsidRPr="00CB2773">
              <w:rPr>
                <w:rFonts w:ascii="Calibri" w:hAnsi="Calibri"/>
                <w:sz w:val="20"/>
              </w:rPr>
              <w:t>Protection contre risques élevés et attaques sophistiquées</w:t>
            </w:r>
          </w:p>
        </w:tc>
        <w:tc>
          <w:tcPr>
            <w:tcW w:w="0" w:type="auto"/>
            <w:hideMark/>
          </w:tcPr>
          <w:p w14:paraId="7D5B6D69" w14:textId="77777777" w:rsidR="00262594" w:rsidRPr="00CB2773" w:rsidRDefault="00262594" w:rsidP="00CB2773">
            <w:pPr>
              <w:jc w:val="left"/>
              <w:rPr>
                <w:rFonts w:ascii="Calibri" w:hAnsi="Calibri"/>
                <w:sz w:val="20"/>
              </w:rPr>
            </w:pPr>
            <w:r w:rsidRPr="00CB2773">
              <w:rPr>
                <w:rFonts w:ascii="Calibri" w:hAnsi="Calibri"/>
                <w:sz w:val="20"/>
              </w:rPr>
              <w:t>Évaluation technique rigoureuse</w:t>
            </w:r>
          </w:p>
        </w:tc>
      </w:tr>
    </w:tbl>
    <w:p w14:paraId="786EE098" w14:textId="77777777" w:rsidR="00262594" w:rsidRPr="00262594" w:rsidRDefault="00262594" w:rsidP="00CB2773">
      <w:pPr>
        <w:spacing w:after="0" w:line="240" w:lineRule="auto"/>
      </w:pPr>
      <w:r w:rsidRPr="00262594">
        <w:t>Ces niveaux correspondent au degré de confiance dans la résistance du produit ou service face aux cybermenaces.</w:t>
      </w:r>
    </w:p>
    <w:p w14:paraId="50AB27A5" w14:textId="77777777" w:rsidR="00262594" w:rsidRPr="00262594" w:rsidRDefault="00262594" w:rsidP="00CB2773">
      <w:pPr>
        <w:pStyle w:val="Titre2"/>
        <w:spacing w:before="0" w:after="0" w:line="240" w:lineRule="auto"/>
      </w:pPr>
      <w:r w:rsidRPr="00262594">
        <w:t>3.3 Schémas européens</w:t>
      </w:r>
    </w:p>
    <w:p w14:paraId="511CCBAB" w14:textId="77777777" w:rsidR="00262594" w:rsidRPr="00262594" w:rsidRDefault="00262594" w:rsidP="00CB2773">
      <w:pPr>
        <w:spacing w:after="0" w:line="240" w:lineRule="auto"/>
      </w:pPr>
      <w:r w:rsidRPr="00262594">
        <w:t>Les schémas de certification sont adoptés par la Commission européenne après préparation technique par l’ENISA.</w:t>
      </w:r>
    </w:p>
    <w:p w14:paraId="58BE3A15" w14:textId="3DB58B3C" w:rsidR="00262594" w:rsidRDefault="00262594" w:rsidP="00CB2773">
      <w:pPr>
        <w:spacing w:after="0" w:line="240" w:lineRule="auto"/>
      </w:pPr>
      <w:r w:rsidRPr="00262594">
        <w:t>Ils définissent notamment</w:t>
      </w:r>
      <w:r w:rsidR="00CB2773">
        <w:t> :</w:t>
      </w:r>
    </w:p>
    <w:p w14:paraId="14C7251A" w14:textId="77777777" w:rsidR="00262594" w:rsidRDefault="00262594" w:rsidP="00CB2773">
      <w:pPr>
        <w:spacing w:after="0" w:line="240" w:lineRule="auto"/>
      </w:pPr>
      <w:r w:rsidRPr="00262594">
        <w:t>• Les exigences de sécurité,</w:t>
      </w:r>
    </w:p>
    <w:p w14:paraId="36E71862" w14:textId="77777777" w:rsidR="00262594" w:rsidRDefault="00262594" w:rsidP="00CB2773">
      <w:pPr>
        <w:spacing w:after="0" w:line="240" w:lineRule="auto"/>
      </w:pPr>
      <w:r w:rsidRPr="00262594">
        <w:t>• Les procédures d’évaluation,</w:t>
      </w:r>
    </w:p>
    <w:p w14:paraId="5A9F3B72" w14:textId="77777777" w:rsidR="00262594" w:rsidRPr="00262594" w:rsidRDefault="00262594" w:rsidP="00CB2773">
      <w:pPr>
        <w:spacing w:after="0" w:line="240" w:lineRule="auto"/>
      </w:pPr>
      <w:r w:rsidRPr="00262594">
        <w:t>• Les modalités de surveillance.</w:t>
      </w:r>
    </w:p>
    <w:p w14:paraId="29B86812" w14:textId="77777777" w:rsidR="00262594" w:rsidRPr="00262594" w:rsidRDefault="00262594" w:rsidP="00CB2773">
      <w:pPr>
        <w:pStyle w:val="Titre1"/>
        <w:spacing w:before="0" w:after="0" w:line="240" w:lineRule="auto"/>
      </w:pPr>
      <w:r w:rsidRPr="00262594">
        <w:t>4) Autorités nationales et mise en œuvre en France</w:t>
      </w:r>
    </w:p>
    <w:p w14:paraId="227D4458" w14:textId="61FEE7AD" w:rsidR="00262594" w:rsidRPr="00262594" w:rsidRDefault="00262594" w:rsidP="00CB2773">
      <w:pPr>
        <w:spacing w:after="0" w:line="240" w:lineRule="auto"/>
      </w:pPr>
      <w:r w:rsidRPr="00262594">
        <w:t>Chaque État membre doit désigner</w:t>
      </w:r>
      <w:r w:rsidR="00CB2773">
        <w:t> :</w:t>
      </w:r>
    </w:p>
    <w:p w14:paraId="3AB3BA96" w14:textId="77777777" w:rsidR="00262594" w:rsidRDefault="00262594" w:rsidP="00CB2773">
      <w:pPr>
        <w:spacing w:after="0" w:line="240" w:lineRule="auto"/>
      </w:pPr>
      <w:r w:rsidRPr="00262594">
        <w:t xml:space="preserve">• Une </w:t>
      </w:r>
      <w:r w:rsidRPr="00262594">
        <w:rPr>
          <w:b/>
          <w:bCs/>
        </w:rPr>
        <w:t>autorité nationale de certification de cybersécurité</w:t>
      </w:r>
      <w:r w:rsidRPr="00262594">
        <w:t>,</w:t>
      </w:r>
    </w:p>
    <w:p w14:paraId="1C09E56F" w14:textId="77777777" w:rsidR="00262594" w:rsidRPr="00262594" w:rsidRDefault="00262594" w:rsidP="00CB2773">
      <w:pPr>
        <w:spacing w:after="0" w:line="240" w:lineRule="auto"/>
      </w:pPr>
      <w:r w:rsidRPr="00262594">
        <w:t>• Des organismes d’évaluation de la conformité.</w:t>
      </w:r>
    </w:p>
    <w:p w14:paraId="42B39E1A" w14:textId="77777777" w:rsidR="00262594" w:rsidRPr="00262594" w:rsidRDefault="00262594" w:rsidP="00CB2773">
      <w:pPr>
        <w:spacing w:after="0" w:line="240" w:lineRule="auto"/>
      </w:pPr>
      <w:r w:rsidRPr="00262594">
        <w:t>En France, cette mission relève de l’Agence nationale de la sécurité des systèmes d'information, autorité nationale compétente en matière de cybersécurité.</w:t>
      </w:r>
    </w:p>
    <w:p w14:paraId="7FC52FEC" w14:textId="367765C8" w:rsidR="00262594" w:rsidRDefault="00262594" w:rsidP="00CB2773">
      <w:pPr>
        <w:spacing w:after="0" w:line="240" w:lineRule="auto"/>
      </w:pPr>
      <w:r w:rsidRPr="00262594">
        <w:t>L’ANSSI</w:t>
      </w:r>
      <w:r w:rsidR="00CB2773">
        <w:t> :</w:t>
      </w:r>
    </w:p>
    <w:p w14:paraId="4ACC60D4" w14:textId="77777777" w:rsidR="00262594" w:rsidRDefault="00262594" w:rsidP="00CB2773">
      <w:pPr>
        <w:spacing w:after="0" w:line="240" w:lineRule="auto"/>
      </w:pPr>
      <w:r w:rsidRPr="00262594">
        <w:t>• Supervise les organismes certificateurs,</w:t>
      </w:r>
    </w:p>
    <w:p w14:paraId="1DAB74AB" w14:textId="77777777" w:rsidR="00262594" w:rsidRDefault="00262594" w:rsidP="00CB2773">
      <w:pPr>
        <w:spacing w:after="0" w:line="240" w:lineRule="auto"/>
      </w:pPr>
      <w:r w:rsidRPr="00262594">
        <w:t>• Participe aux travaux européens relatifs aux schémas de certification,</w:t>
      </w:r>
    </w:p>
    <w:p w14:paraId="55A77AD1" w14:textId="77777777" w:rsidR="00262594" w:rsidRPr="00262594" w:rsidRDefault="00262594" w:rsidP="00CB2773">
      <w:pPr>
        <w:spacing w:after="0" w:line="240" w:lineRule="auto"/>
      </w:pPr>
      <w:r w:rsidRPr="00262594">
        <w:t>• Assure le contrôle du respect du règlement.</w:t>
      </w:r>
    </w:p>
    <w:p w14:paraId="151F94B2" w14:textId="77777777" w:rsidR="00262594" w:rsidRPr="00262594" w:rsidRDefault="00262594" w:rsidP="00CB2773">
      <w:pPr>
        <w:spacing w:after="0" w:line="240" w:lineRule="auto"/>
      </w:pPr>
      <w:r w:rsidRPr="00262594">
        <w:t>Le cadre français s’inscrit également dans le Code de la défense (dispositions relatives à la sécurité des systèmes d’information).</w:t>
      </w:r>
    </w:p>
    <w:p w14:paraId="7798324C" w14:textId="77777777" w:rsidR="00262594" w:rsidRPr="00262594" w:rsidRDefault="00262594" w:rsidP="00CB2773">
      <w:pPr>
        <w:pStyle w:val="Titre1"/>
        <w:spacing w:before="0" w:after="0" w:line="240" w:lineRule="auto"/>
      </w:pPr>
      <w:r w:rsidRPr="00262594">
        <w:lastRenderedPageBreak/>
        <w:t>5) Nature juridique</w:t>
      </w:r>
    </w:p>
    <w:tbl>
      <w:tblPr>
        <w:tblStyle w:val="Grilledutableau"/>
        <w:tblW w:w="0" w:type="auto"/>
        <w:tblLook w:val="04A0" w:firstRow="1" w:lastRow="0" w:firstColumn="1" w:lastColumn="0" w:noHBand="0" w:noVBand="1"/>
      </w:tblPr>
      <w:tblGrid>
        <w:gridCol w:w="1303"/>
        <w:gridCol w:w="4969"/>
      </w:tblGrid>
      <w:tr w:rsidR="00262594" w:rsidRPr="00CB2773" w14:paraId="7168267E" w14:textId="77777777" w:rsidTr="00CB2773">
        <w:trPr>
          <w:tblHeader/>
        </w:trPr>
        <w:tc>
          <w:tcPr>
            <w:tcW w:w="0" w:type="auto"/>
            <w:hideMark/>
          </w:tcPr>
          <w:p w14:paraId="24CE924F" w14:textId="77777777" w:rsidR="00262594" w:rsidRPr="00CB2773" w:rsidRDefault="00262594" w:rsidP="00CB2773">
            <w:pPr>
              <w:jc w:val="left"/>
              <w:rPr>
                <w:rFonts w:ascii="Calibri" w:hAnsi="Calibri" w:cs="Calibri"/>
                <w:b/>
                <w:bCs/>
                <w:sz w:val="20"/>
              </w:rPr>
            </w:pPr>
            <w:r w:rsidRPr="00CB2773">
              <w:rPr>
                <w:rFonts w:ascii="Calibri" w:hAnsi="Calibri" w:cs="Calibri"/>
                <w:b/>
                <w:bCs/>
                <w:sz w:val="20"/>
              </w:rPr>
              <w:t>Élément</w:t>
            </w:r>
          </w:p>
        </w:tc>
        <w:tc>
          <w:tcPr>
            <w:tcW w:w="0" w:type="auto"/>
            <w:hideMark/>
          </w:tcPr>
          <w:p w14:paraId="23CFAE8D" w14:textId="77777777" w:rsidR="00262594" w:rsidRPr="00CB2773" w:rsidRDefault="00262594" w:rsidP="00CB2773">
            <w:pPr>
              <w:jc w:val="left"/>
              <w:rPr>
                <w:rFonts w:ascii="Calibri" w:hAnsi="Calibri" w:cs="Calibri"/>
                <w:b/>
                <w:bCs/>
                <w:sz w:val="20"/>
              </w:rPr>
            </w:pPr>
            <w:r w:rsidRPr="00CB2773">
              <w:rPr>
                <w:rFonts w:ascii="Calibri" w:hAnsi="Calibri" w:cs="Calibri"/>
                <w:b/>
                <w:bCs/>
                <w:sz w:val="20"/>
              </w:rPr>
              <w:t>Caractéristique</w:t>
            </w:r>
          </w:p>
        </w:tc>
      </w:tr>
      <w:tr w:rsidR="00262594" w:rsidRPr="00CB2773" w14:paraId="52B56431" w14:textId="77777777" w:rsidTr="00CB2773">
        <w:tc>
          <w:tcPr>
            <w:tcW w:w="0" w:type="auto"/>
            <w:hideMark/>
          </w:tcPr>
          <w:p w14:paraId="4399B6B8" w14:textId="77777777" w:rsidR="00262594" w:rsidRPr="00CB2773" w:rsidRDefault="00262594" w:rsidP="00CB2773">
            <w:pPr>
              <w:jc w:val="left"/>
              <w:rPr>
                <w:rFonts w:ascii="Calibri" w:hAnsi="Calibri" w:cs="Calibri"/>
                <w:sz w:val="20"/>
              </w:rPr>
            </w:pPr>
            <w:r w:rsidRPr="00CB2773">
              <w:rPr>
                <w:rFonts w:ascii="Calibri" w:hAnsi="Calibri" w:cs="Calibri"/>
                <w:sz w:val="20"/>
              </w:rPr>
              <w:t>Type d’acte</w:t>
            </w:r>
          </w:p>
        </w:tc>
        <w:tc>
          <w:tcPr>
            <w:tcW w:w="0" w:type="auto"/>
            <w:hideMark/>
          </w:tcPr>
          <w:p w14:paraId="7B038FED" w14:textId="77777777" w:rsidR="00262594" w:rsidRPr="00CB2773" w:rsidRDefault="00262594" w:rsidP="00CB2773">
            <w:pPr>
              <w:jc w:val="left"/>
              <w:rPr>
                <w:rFonts w:ascii="Calibri" w:hAnsi="Calibri" w:cs="Calibri"/>
                <w:sz w:val="20"/>
              </w:rPr>
            </w:pPr>
            <w:r w:rsidRPr="00CB2773">
              <w:rPr>
                <w:rFonts w:ascii="Calibri" w:hAnsi="Calibri" w:cs="Calibri"/>
                <w:sz w:val="20"/>
              </w:rPr>
              <w:t>Règlement européen</w:t>
            </w:r>
          </w:p>
        </w:tc>
      </w:tr>
      <w:tr w:rsidR="00262594" w:rsidRPr="00CB2773" w14:paraId="605FD466" w14:textId="77777777" w:rsidTr="00CB2773">
        <w:tc>
          <w:tcPr>
            <w:tcW w:w="0" w:type="auto"/>
            <w:hideMark/>
          </w:tcPr>
          <w:p w14:paraId="13D197A0" w14:textId="77777777" w:rsidR="00262594" w:rsidRPr="00CB2773" w:rsidRDefault="00262594" w:rsidP="00CB2773">
            <w:pPr>
              <w:jc w:val="left"/>
              <w:rPr>
                <w:rFonts w:ascii="Calibri" w:hAnsi="Calibri" w:cs="Calibri"/>
                <w:sz w:val="20"/>
              </w:rPr>
            </w:pPr>
            <w:r w:rsidRPr="00CB2773">
              <w:rPr>
                <w:rFonts w:ascii="Calibri" w:hAnsi="Calibri" w:cs="Calibri"/>
                <w:sz w:val="20"/>
              </w:rPr>
              <w:t>Applicabilité</w:t>
            </w:r>
          </w:p>
        </w:tc>
        <w:tc>
          <w:tcPr>
            <w:tcW w:w="0" w:type="auto"/>
            <w:hideMark/>
          </w:tcPr>
          <w:p w14:paraId="6AB29736" w14:textId="77777777" w:rsidR="00262594" w:rsidRPr="00CB2773" w:rsidRDefault="00262594" w:rsidP="00CB2773">
            <w:pPr>
              <w:jc w:val="left"/>
              <w:rPr>
                <w:rFonts w:ascii="Calibri" w:hAnsi="Calibri" w:cs="Calibri"/>
                <w:sz w:val="20"/>
              </w:rPr>
            </w:pPr>
            <w:r w:rsidRPr="00CB2773">
              <w:rPr>
                <w:rFonts w:ascii="Calibri" w:hAnsi="Calibri" w:cs="Calibri"/>
                <w:sz w:val="20"/>
              </w:rPr>
              <w:t>Directe dans tous les États membres</w:t>
            </w:r>
          </w:p>
        </w:tc>
      </w:tr>
      <w:tr w:rsidR="00262594" w:rsidRPr="00CB2773" w14:paraId="6DCFD760" w14:textId="77777777" w:rsidTr="00CB2773">
        <w:tc>
          <w:tcPr>
            <w:tcW w:w="0" w:type="auto"/>
            <w:hideMark/>
          </w:tcPr>
          <w:p w14:paraId="57642877" w14:textId="77777777" w:rsidR="00262594" w:rsidRPr="00CB2773" w:rsidRDefault="00262594" w:rsidP="00CB2773">
            <w:pPr>
              <w:jc w:val="left"/>
              <w:rPr>
                <w:rFonts w:ascii="Calibri" w:hAnsi="Calibri" w:cs="Calibri"/>
                <w:sz w:val="20"/>
              </w:rPr>
            </w:pPr>
            <w:r w:rsidRPr="00CB2773">
              <w:rPr>
                <w:rFonts w:ascii="Calibri" w:hAnsi="Calibri" w:cs="Calibri"/>
                <w:sz w:val="20"/>
              </w:rPr>
              <w:t>Transposition</w:t>
            </w:r>
          </w:p>
        </w:tc>
        <w:tc>
          <w:tcPr>
            <w:tcW w:w="0" w:type="auto"/>
            <w:hideMark/>
          </w:tcPr>
          <w:p w14:paraId="38714E26" w14:textId="77777777" w:rsidR="00262594" w:rsidRPr="00CB2773" w:rsidRDefault="00262594" w:rsidP="00CB2773">
            <w:pPr>
              <w:jc w:val="left"/>
              <w:rPr>
                <w:rFonts w:ascii="Calibri" w:hAnsi="Calibri" w:cs="Calibri"/>
                <w:sz w:val="20"/>
              </w:rPr>
            </w:pPr>
            <w:r w:rsidRPr="00CB2773">
              <w:rPr>
                <w:rFonts w:ascii="Calibri" w:hAnsi="Calibri" w:cs="Calibri"/>
                <w:sz w:val="20"/>
              </w:rPr>
              <w:t>Aucune (contrairement à une directive)</w:t>
            </w:r>
          </w:p>
        </w:tc>
      </w:tr>
      <w:tr w:rsidR="00262594" w:rsidRPr="00CB2773" w14:paraId="56B07FEA" w14:textId="77777777" w:rsidTr="00CB2773">
        <w:tc>
          <w:tcPr>
            <w:tcW w:w="0" w:type="auto"/>
            <w:hideMark/>
          </w:tcPr>
          <w:p w14:paraId="59867A54" w14:textId="77777777" w:rsidR="00262594" w:rsidRPr="00CB2773" w:rsidRDefault="00262594" w:rsidP="00CB2773">
            <w:pPr>
              <w:jc w:val="left"/>
              <w:rPr>
                <w:rFonts w:ascii="Calibri" w:hAnsi="Calibri" w:cs="Calibri"/>
                <w:sz w:val="20"/>
              </w:rPr>
            </w:pPr>
            <w:r w:rsidRPr="00CB2773">
              <w:rPr>
                <w:rFonts w:ascii="Calibri" w:hAnsi="Calibri" w:cs="Calibri"/>
                <w:sz w:val="20"/>
              </w:rPr>
              <w:t>Certification</w:t>
            </w:r>
          </w:p>
        </w:tc>
        <w:tc>
          <w:tcPr>
            <w:tcW w:w="0" w:type="auto"/>
            <w:hideMark/>
          </w:tcPr>
          <w:p w14:paraId="170FDD7B" w14:textId="77777777" w:rsidR="00262594" w:rsidRPr="00CB2773" w:rsidRDefault="00262594" w:rsidP="00CB2773">
            <w:pPr>
              <w:jc w:val="left"/>
              <w:rPr>
                <w:rFonts w:ascii="Calibri" w:hAnsi="Calibri" w:cs="Calibri"/>
                <w:sz w:val="20"/>
              </w:rPr>
            </w:pPr>
            <w:r w:rsidRPr="00CB2773">
              <w:rPr>
                <w:rFonts w:ascii="Calibri" w:hAnsi="Calibri" w:cs="Calibri"/>
                <w:sz w:val="20"/>
              </w:rPr>
              <w:t>Volontaire, sauf si rendue obligatoire par un texte sectoriel</w:t>
            </w:r>
          </w:p>
        </w:tc>
      </w:tr>
    </w:tbl>
    <w:p w14:paraId="4C2811BE" w14:textId="77777777" w:rsidR="00262594" w:rsidRPr="00262594" w:rsidRDefault="00262594" w:rsidP="00CB2773">
      <w:pPr>
        <w:spacing w:after="0" w:line="240" w:lineRule="auto"/>
      </w:pPr>
      <w:r w:rsidRPr="00262594">
        <w:t>Un règlement européen est directement applicable dans l’ordre juridique interne sans nécessité de loi de transposition.</w:t>
      </w:r>
    </w:p>
    <w:p w14:paraId="383D88C8" w14:textId="77777777" w:rsidR="00262594" w:rsidRPr="00262594" w:rsidRDefault="00262594" w:rsidP="00CB2773">
      <w:pPr>
        <w:pStyle w:val="Titre1"/>
        <w:spacing w:before="0" w:after="0" w:line="240" w:lineRule="auto"/>
      </w:pPr>
      <w:r w:rsidRPr="00262594">
        <w:t>6) Contrôle et sanctions</w:t>
      </w:r>
    </w:p>
    <w:p w14:paraId="2BB52392" w14:textId="77777777" w:rsidR="00262594" w:rsidRPr="00262594" w:rsidRDefault="00262594" w:rsidP="00CB2773">
      <w:pPr>
        <w:spacing w:after="0" w:line="240" w:lineRule="auto"/>
      </w:pPr>
      <w:r w:rsidRPr="00262594">
        <w:t xml:space="preserve">Le règlement impose aux États membres de prévoir des </w:t>
      </w:r>
      <w:r w:rsidRPr="00262594">
        <w:rPr>
          <w:b/>
          <w:bCs/>
        </w:rPr>
        <w:t>règles relatives aux sanctions applicables</w:t>
      </w:r>
      <w:r w:rsidRPr="00262594">
        <w:t xml:space="preserve"> en cas de violation.</w:t>
      </w:r>
    </w:p>
    <w:p w14:paraId="5F225361" w14:textId="15805AF9" w:rsidR="00262594" w:rsidRDefault="00262594" w:rsidP="00CB2773">
      <w:pPr>
        <w:spacing w:after="0" w:line="240" w:lineRule="auto"/>
      </w:pPr>
      <w:r w:rsidRPr="00262594">
        <w:t>En France, les sanctions relèvent</w:t>
      </w:r>
      <w:r w:rsidR="00CB2773">
        <w:t> :</w:t>
      </w:r>
    </w:p>
    <w:p w14:paraId="42E5AB0C" w14:textId="77777777" w:rsidR="00262594" w:rsidRDefault="00262594" w:rsidP="00CB2773">
      <w:pPr>
        <w:spacing w:after="0" w:line="240" w:lineRule="auto"/>
      </w:pPr>
      <w:r w:rsidRPr="00262594">
        <w:t>• Du droit administratif,</w:t>
      </w:r>
    </w:p>
    <w:p w14:paraId="7FDFBA08" w14:textId="77777777" w:rsidR="00262594" w:rsidRDefault="00262594" w:rsidP="00CB2773">
      <w:pPr>
        <w:spacing w:after="0" w:line="240" w:lineRule="auto"/>
      </w:pPr>
      <w:r w:rsidRPr="00262594">
        <w:t>• Du contrôle exercé par l’ANSSI,</w:t>
      </w:r>
    </w:p>
    <w:p w14:paraId="44F0BA78" w14:textId="77777777" w:rsidR="00262594" w:rsidRPr="00262594" w:rsidRDefault="00262594" w:rsidP="00CB2773">
      <w:pPr>
        <w:spacing w:after="0" w:line="240" w:lineRule="auto"/>
      </w:pPr>
      <w:r w:rsidRPr="00262594">
        <w:t>• Le cas échéant, du droit pénal en cas de fraude ou de fausse déclaration.</w:t>
      </w:r>
    </w:p>
    <w:p w14:paraId="622E6748" w14:textId="77777777" w:rsidR="00262594" w:rsidRPr="00262594" w:rsidRDefault="00262594" w:rsidP="00CB2773">
      <w:pPr>
        <w:spacing w:after="0" w:line="240" w:lineRule="auto"/>
      </w:pPr>
      <w:r w:rsidRPr="00262594">
        <w:t xml:space="preserve">Le </w:t>
      </w:r>
      <w:proofErr w:type="spellStart"/>
      <w:r w:rsidRPr="00262594">
        <w:t>Cybersecurity</w:t>
      </w:r>
      <w:proofErr w:type="spellEnd"/>
      <w:r w:rsidRPr="00262594">
        <w:t xml:space="preserve"> Act ne fixe pas lui-même un barème d’amendes harmonisé comparable à celui du RGPD.</w:t>
      </w:r>
    </w:p>
    <w:p w14:paraId="293D1F42" w14:textId="77777777" w:rsidR="00262594" w:rsidRPr="00262594" w:rsidRDefault="00262594" w:rsidP="00CB2773">
      <w:pPr>
        <w:pStyle w:val="Titre1"/>
        <w:spacing w:before="0" w:after="0" w:line="240" w:lineRule="auto"/>
      </w:pPr>
      <w:r w:rsidRPr="00262594">
        <w:t>7) Articulation avec d’autres textes européens</w:t>
      </w:r>
    </w:p>
    <w:p w14:paraId="28E4E23F" w14:textId="3311E2FB" w:rsidR="00262594" w:rsidRPr="00262594" w:rsidRDefault="00262594" w:rsidP="00CB2773">
      <w:pPr>
        <w:spacing w:after="0" w:line="240" w:lineRule="auto"/>
      </w:pPr>
      <w:r w:rsidRPr="00262594">
        <w:t xml:space="preserve">Le </w:t>
      </w:r>
      <w:proofErr w:type="spellStart"/>
      <w:r w:rsidRPr="00262594">
        <w:t>Cybersecurity</w:t>
      </w:r>
      <w:proofErr w:type="spellEnd"/>
      <w:r w:rsidRPr="00262594">
        <w:t xml:space="preserve"> Act constitue un texte structurant, distinct notamment de</w:t>
      </w:r>
      <w:r w:rsidR="00CB2773">
        <w:t> :</w:t>
      </w:r>
    </w:p>
    <w:p w14:paraId="6FC8585C" w14:textId="77777777" w:rsidR="00262594" w:rsidRDefault="00262594" w:rsidP="00CB2773">
      <w:pPr>
        <w:spacing w:after="0" w:line="240" w:lineRule="auto"/>
      </w:pPr>
      <w:r w:rsidRPr="00262594">
        <w:t>• Directive (UE) 2022/2555 (NIS 2), qui impose des obligations de gestion des risques et de notification d’incidents aux entités essentielles et importantes.</w:t>
      </w:r>
    </w:p>
    <w:p w14:paraId="73F2BA94" w14:textId="626D81D2" w:rsidR="00262594" w:rsidRPr="00262594" w:rsidRDefault="00262594" w:rsidP="00CB2773">
      <w:pPr>
        <w:spacing w:after="0" w:line="240" w:lineRule="auto"/>
      </w:pPr>
      <w:r>
        <w:t xml:space="preserve">• Règlement (UE) 2024/2847 (Cyber </w:t>
      </w:r>
      <w:proofErr w:type="spellStart"/>
      <w:r>
        <w:t>Resilience</w:t>
      </w:r>
      <w:proofErr w:type="spellEnd"/>
      <w:r>
        <w:t xml:space="preserve"> Act)</w:t>
      </w:r>
      <w:r w:rsidR="00CB2773">
        <w:t> :</w:t>
      </w:r>
      <w:r>
        <w:t xml:space="preserve"> obligations des fabricants pour les produits avec éléments numériques, dont les signalements de l’article 14 dès le 11 septembre 2026 et l’application générale le 11 décembre 2027.</w:t>
      </w:r>
    </w:p>
    <w:p w14:paraId="41ECB507" w14:textId="6B5166F5" w:rsidR="00262594" w:rsidRPr="00262594" w:rsidRDefault="00262594" w:rsidP="00CB2773">
      <w:pPr>
        <w:spacing w:after="0" w:line="240" w:lineRule="auto"/>
      </w:pPr>
      <w:r>
        <w:t xml:space="preserve">Le </w:t>
      </w:r>
      <w:proofErr w:type="spellStart"/>
      <w:r>
        <w:t>Cybersecurity</w:t>
      </w:r>
      <w:proofErr w:type="spellEnd"/>
      <w:r>
        <w:t xml:space="preserve"> Act organise un cadre européen de certification</w:t>
      </w:r>
      <w:r w:rsidR="00CB2773">
        <w:t> ;</w:t>
      </w:r>
      <w:r>
        <w:t xml:space="preserve"> NIS2 vise la gestion des risques des entités concernées</w:t>
      </w:r>
      <w:r w:rsidR="00CB2773">
        <w:t> ;</w:t>
      </w:r>
      <w:r>
        <w:t xml:space="preserve"> le CRA s’applique aux produits numériques. Une certification n’équivaut pas, à elle seule, à une conformité à l’ensemble de ces textes.</w:t>
      </w:r>
    </w:p>
    <w:p w14:paraId="30E9B1B9" w14:textId="77777777" w:rsidR="00262594" w:rsidRPr="00262594" w:rsidRDefault="00262594" w:rsidP="00CB2773">
      <w:pPr>
        <w:pStyle w:val="Titre1"/>
        <w:spacing w:before="0" w:after="0" w:line="240" w:lineRule="auto"/>
      </w:pPr>
      <w:r w:rsidRPr="00262594">
        <w:t>Synthèse</w:t>
      </w:r>
    </w:p>
    <w:p w14:paraId="1053DA6E" w14:textId="77777777" w:rsidR="00262594" w:rsidRPr="00262594" w:rsidRDefault="00262594" w:rsidP="00CB2773">
      <w:pPr>
        <w:spacing w:after="0" w:line="240" w:lineRule="auto"/>
      </w:pPr>
      <w:r w:rsidRPr="00262594">
        <w:t>Le règlement (UE) 2019/881 constitue le socle institutionnel et normatif de la certification européenne en matière de cybersécurité.</w:t>
      </w:r>
    </w:p>
    <w:p w14:paraId="7BEF67BA" w14:textId="6DD9934C" w:rsidR="00262594" w:rsidRDefault="00262594" w:rsidP="00CB2773">
      <w:pPr>
        <w:spacing w:after="0" w:line="240" w:lineRule="auto"/>
      </w:pPr>
      <w:r w:rsidRPr="00262594">
        <w:t>Il repose sur</w:t>
      </w:r>
      <w:r w:rsidR="00CB2773">
        <w:t> :</w:t>
      </w:r>
    </w:p>
    <w:p w14:paraId="2A6B4C7F" w14:textId="77777777" w:rsidR="00262594" w:rsidRDefault="00262594" w:rsidP="00CB2773">
      <w:pPr>
        <w:spacing w:after="0" w:line="240" w:lineRule="auto"/>
      </w:pPr>
      <w:r w:rsidRPr="00262594">
        <w:t>• Le renforcement pérenne de l’ENISA,</w:t>
      </w:r>
    </w:p>
    <w:p w14:paraId="71627CC6" w14:textId="77777777" w:rsidR="00262594" w:rsidRDefault="00262594" w:rsidP="00CB2773">
      <w:pPr>
        <w:spacing w:after="0" w:line="240" w:lineRule="auto"/>
      </w:pPr>
      <w:r w:rsidRPr="00262594">
        <w:t>• L’instauration d’un cadre harmonisé de certification valable dans toute l’Union européenne,</w:t>
      </w:r>
    </w:p>
    <w:p w14:paraId="6A59B38F" w14:textId="77777777" w:rsidR="00262594" w:rsidRPr="00262594" w:rsidRDefault="00262594" w:rsidP="00CB2773">
      <w:pPr>
        <w:spacing w:after="0" w:line="240" w:lineRule="auto"/>
      </w:pPr>
      <w:r w:rsidRPr="00262594">
        <w:t>• L’organisation d’un système coordonné entre autorités nationales, dont l’ANSSI en France.</w:t>
      </w:r>
    </w:p>
    <w:p w14:paraId="0AC47B9F" w14:textId="1B751498" w:rsidR="00CB2773" w:rsidRDefault="00262594" w:rsidP="00CB2773">
      <w:pPr>
        <w:spacing w:after="0" w:line="240" w:lineRule="auto"/>
      </w:pPr>
      <w:r w:rsidRPr="00262594">
        <w:t>Sa logique est structurante</w:t>
      </w:r>
      <w:r w:rsidR="00CB2773">
        <w:t> :</w:t>
      </w:r>
      <w:r w:rsidRPr="00262594">
        <w:t xml:space="preserve"> il ne crée pas directement d’obligations générales de cybersécurité pour toutes les entreprises, mais organise la confiance et l’harmonisation au sein du marché intérieur européen.</w:t>
      </w:r>
    </w:p>
    <w:p w14:paraId="712C1BAD" w14:textId="284D0804" w:rsidR="00E7548C" w:rsidRDefault="00000000" w:rsidP="00CB2773">
      <w:pPr>
        <w:pStyle w:val="Titre2"/>
        <w:spacing w:before="0" w:after="0" w:line="240" w:lineRule="auto"/>
      </w:pPr>
      <w:r>
        <w:t>Repères</w:t>
      </w:r>
      <w:r w:rsidR="00CB2773">
        <w:t> :</w:t>
      </w:r>
      <w:r>
        <w:t xml:space="preserve"> </w:t>
      </w:r>
      <w:proofErr w:type="spellStart"/>
      <w:r>
        <w:t>Cybersecurity</w:t>
      </w:r>
      <w:proofErr w:type="spellEnd"/>
      <w:r>
        <w:t xml:space="preserve"> Act, NIS2, CRA et DORA</w:t>
      </w:r>
    </w:p>
    <w:p w14:paraId="442E9F5A" w14:textId="665C815A" w:rsidR="00E7548C" w:rsidRDefault="00000000" w:rsidP="00CB2773">
      <w:pPr>
        <w:spacing w:after="0" w:line="240" w:lineRule="auto"/>
      </w:pPr>
      <w:proofErr w:type="spellStart"/>
      <w:r>
        <w:t>Cybersecurity</w:t>
      </w:r>
      <w:proofErr w:type="spellEnd"/>
      <w:r>
        <w:t xml:space="preserve"> Act (2019/881)</w:t>
      </w:r>
      <w:r w:rsidR="00CB2773">
        <w:t> :</w:t>
      </w:r>
      <w:r>
        <w:t xml:space="preserve"> schémas de certification de produits, services, processus TIC et, selon les dispositions modifiées, services de sécurité gérés</w:t>
      </w:r>
      <w:r w:rsidR="00CB2773">
        <w:t> ;</w:t>
      </w:r>
      <w:r>
        <w:t xml:space="preserve"> ne pas le confondre avec le Cyber </w:t>
      </w:r>
      <w:proofErr w:type="spellStart"/>
      <w:r>
        <w:t>Resilience</w:t>
      </w:r>
      <w:proofErr w:type="spellEnd"/>
      <w:r>
        <w:t xml:space="preserve"> Act.</w:t>
      </w:r>
    </w:p>
    <w:p w14:paraId="4BA421ED" w14:textId="47C1C482" w:rsidR="00E7548C" w:rsidRDefault="00000000" w:rsidP="00CB2773">
      <w:pPr>
        <w:spacing w:after="0" w:line="240" w:lineRule="auto"/>
      </w:pPr>
      <w:r>
        <w:t>CRA (2024/2847)</w:t>
      </w:r>
      <w:r w:rsidR="00CB2773">
        <w:t> :</w:t>
      </w:r>
      <w:r>
        <w:t xml:space="preserve"> en matière de produit, alerte précoce dans les 24 heures et notification dans les 72 heures de la prise de connaissance des faits relevant de l’article 14, via la plateforme européenne prévue.</w:t>
      </w:r>
    </w:p>
    <w:p w14:paraId="72B65FF4" w14:textId="6206F112" w:rsidR="00E7548C" w:rsidRDefault="00000000" w:rsidP="00CB2773">
      <w:pPr>
        <w:spacing w:after="0" w:line="240" w:lineRule="auto"/>
      </w:pPr>
      <w:r>
        <w:t>NIS2 (2022/2555)</w:t>
      </w:r>
      <w:r w:rsidR="00CB2773">
        <w:t> :</w:t>
      </w:r>
      <w:r>
        <w:t xml:space="preserve"> directive visant certaines organisations</w:t>
      </w:r>
      <w:r w:rsidR="00CB2773">
        <w:t> ;</w:t>
      </w:r>
      <w:r>
        <w:t xml:space="preserve"> le champ et le calendrier national doivent être vérifiés au regard de la transposition.</w:t>
      </w:r>
    </w:p>
    <w:p w14:paraId="598C1231" w14:textId="2989BAA1" w:rsidR="00E7548C" w:rsidRDefault="00000000" w:rsidP="00CB2773">
      <w:pPr>
        <w:spacing w:after="0" w:line="240" w:lineRule="auto"/>
      </w:pPr>
      <w:r>
        <w:t>DORA (2022/2554)</w:t>
      </w:r>
      <w:r w:rsidR="00CB2773">
        <w:t> :</w:t>
      </w:r>
      <w:r>
        <w:t xml:space="preserve"> règlement spécifique aux entités financières, applicable depuis le 17 janvier 2025.</w:t>
      </w:r>
    </w:p>
    <w:sectPr w:rsidR="00E7548C" w:rsidSect="00CB2773">
      <w:foot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DF975" w14:textId="77777777" w:rsidR="006E125C" w:rsidRDefault="006E125C" w:rsidP="00B870C7">
      <w:r>
        <w:separator/>
      </w:r>
    </w:p>
  </w:endnote>
  <w:endnote w:type="continuationSeparator" w:id="0">
    <w:p w14:paraId="070ACDF5" w14:textId="77777777" w:rsidR="006E125C" w:rsidRDefault="006E125C"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5C84"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B9AB6" w14:textId="77777777" w:rsidR="006E125C" w:rsidRDefault="006E125C" w:rsidP="00B870C7">
      <w:r>
        <w:separator/>
      </w:r>
    </w:p>
  </w:footnote>
  <w:footnote w:type="continuationSeparator" w:id="0">
    <w:p w14:paraId="6888D0BE" w14:textId="77777777" w:rsidR="006E125C" w:rsidRDefault="006E125C"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3594E"/>
    <w:rsid w:val="00135CDD"/>
    <w:rsid w:val="001666DB"/>
    <w:rsid w:val="001B03F3"/>
    <w:rsid w:val="001C2E5A"/>
    <w:rsid w:val="001F5435"/>
    <w:rsid w:val="001F64D4"/>
    <w:rsid w:val="002439F2"/>
    <w:rsid w:val="002569B2"/>
    <w:rsid w:val="00262594"/>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460AB"/>
    <w:rsid w:val="00665A35"/>
    <w:rsid w:val="006C0415"/>
    <w:rsid w:val="006C6336"/>
    <w:rsid w:val="006D099F"/>
    <w:rsid w:val="006E125C"/>
    <w:rsid w:val="00700DA4"/>
    <w:rsid w:val="00703EA4"/>
    <w:rsid w:val="00713A3C"/>
    <w:rsid w:val="00713AC4"/>
    <w:rsid w:val="00742283"/>
    <w:rsid w:val="007A1353"/>
    <w:rsid w:val="007D52B4"/>
    <w:rsid w:val="007E1FF6"/>
    <w:rsid w:val="00800F72"/>
    <w:rsid w:val="00817648"/>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A4633"/>
    <w:rsid w:val="00CB2773"/>
    <w:rsid w:val="00CC4DE7"/>
    <w:rsid w:val="00D00629"/>
    <w:rsid w:val="00D503E9"/>
    <w:rsid w:val="00DA6E3D"/>
    <w:rsid w:val="00DD2902"/>
    <w:rsid w:val="00DE760B"/>
    <w:rsid w:val="00E07964"/>
    <w:rsid w:val="00E5775F"/>
    <w:rsid w:val="00E7548C"/>
    <w:rsid w:val="00E9016D"/>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4FE01"/>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918</Words>
  <Characters>5053</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2026-02-18T07:50:00Z</dcterms:created>
  <dcterms:modified xsi:type="dcterms:W3CDTF">2026-10-19T15:24:00Z</dcterms:modified>
</cp:coreProperties>
</file>