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440A" w14:textId="77777777" w:rsidR="00E265E6" w:rsidRPr="00E265E6" w:rsidRDefault="00E265E6" w:rsidP="00903C60">
      <w:pPr>
        <w:pStyle w:val="Titre1"/>
        <w:spacing w:before="0" w:after="0" w:line="240" w:lineRule="auto"/>
      </w:pPr>
      <w:r w:rsidRPr="00E265E6">
        <w:t>Fiche Digital Omnibus</w:t>
      </w:r>
    </w:p>
    <w:p w14:paraId="5BC110D8" w14:textId="79FCDB90" w:rsidR="00E265E6" w:rsidRDefault="00E265E6" w:rsidP="00903C60">
      <w:pPr>
        <w:spacing w:after="0" w:line="240" w:lineRule="auto"/>
      </w:pPr>
      <w:r>
        <w:t>Deux volets de la simplification du droit numérique européen</w:t>
      </w:r>
      <w:r w:rsidR="00903C60">
        <w:t> :</w:t>
      </w:r>
      <w:r>
        <w:t xml:space="preserve"> AI Omnibus adopté et Digital Omnibus général encore proposé.</w:t>
      </w:r>
    </w:p>
    <w:p w14:paraId="18B006D0" w14:textId="65568542" w:rsidR="00E265E6" w:rsidRPr="00E265E6" w:rsidRDefault="00E265E6" w:rsidP="00903C60">
      <w:pPr>
        <w:spacing w:after="0" w:line="240" w:lineRule="auto"/>
      </w:pPr>
      <w:r>
        <w:t xml:space="preserve">État du droit au 19 octobre 2026 </w:t>
      </w:r>
      <w:r w:rsidR="00903C60">
        <w:t>-</w:t>
      </w:r>
      <w:r>
        <w:t xml:space="preserve"> règlements adoptés, propositions et dates d’application à distinguer.</w:t>
      </w:r>
    </w:p>
    <w:p w14:paraId="340212F5" w14:textId="77777777" w:rsidR="00E265E6" w:rsidRPr="00E265E6" w:rsidRDefault="00E265E6" w:rsidP="00903C60">
      <w:pPr>
        <w:pStyle w:val="Titre2"/>
        <w:spacing w:before="0" w:after="0" w:line="240" w:lineRule="auto"/>
      </w:pPr>
      <w:r w:rsidRPr="00E265E6">
        <w:t>1) Contexte &amp; définition</w:t>
      </w:r>
    </w:p>
    <w:p w14:paraId="4E9E2016" w14:textId="04AF6495" w:rsidR="00E265E6" w:rsidRPr="00E265E6" w:rsidRDefault="00E265E6" w:rsidP="00903C60">
      <w:pPr>
        <w:spacing w:after="0" w:line="240" w:lineRule="auto"/>
      </w:pPr>
      <w:r>
        <w:t>Le paquet de simplification présenté par la Commission le 19 novembre 2025 comporte plusieurs volets juridiquement distincts. Le volet relatif à l’intelligence artificielle a été adopté sous la forme du règlement (UE) 2026/1744 du 8 juillet 2026</w:t>
      </w:r>
      <w:r w:rsidR="00903C60">
        <w:t> ;</w:t>
      </w:r>
      <w:r>
        <w:t xml:space="preserve"> d’autres volets, notamment celui sur les données, demeurent des propositions. Le terme </w:t>
      </w:r>
      <w:r w:rsidR="00903C60">
        <w:t>« </w:t>
      </w:r>
      <w:r>
        <w:t>Digital Omnibus</w:t>
      </w:r>
      <w:r w:rsidR="00903C60">
        <w:t> »</w:t>
      </w:r>
      <w:r>
        <w:t xml:space="preserve"> ne désigne donc pas un texte unique ayant un statut uniforme.</w:t>
      </w:r>
    </w:p>
    <w:p w14:paraId="2341D917" w14:textId="77777777" w:rsidR="00E265E6" w:rsidRPr="00E265E6" w:rsidRDefault="00E265E6" w:rsidP="00903C60">
      <w:pPr>
        <w:spacing w:after="0" w:line="240" w:lineRule="auto"/>
      </w:pPr>
      <w:r>
        <w:t>Le volet AI Omnibus modifie le règlement (UE) 2024/1689 (AI Act). Les autres propositions envisagent des aménagements des règles sur les données et certaines obligations déclaratives. Seules les dispositions publiées au Journal officiel et arrivées à leur date d’application créent des obligations opposables.</w:t>
      </w:r>
    </w:p>
    <w:p w14:paraId="30320CD1" w14:textId="77777777" w:rsidR="00E265E6" w:rsidRPr="00E265E6" w:rsidRDefault="00E265E6" w:rsidP="00903C60">
      <w:pPr>
        <w:pStyle w:val="Titre2"/>
        <w:spacing w:before="0" w:after="0" w:line="240" w:lineRule="auto"/>
      </w:pPr>
      <w:r w:rsidRPr="00E265E6">
        <w:t>2) Objectifs principaux</w:t>
      </w:r>
    </w:p>
    <w:p w14:paraId="0B227004" w14:textId="77777777" w:rsidR="00E265E6" w:rsidRPr="00E265E6" w:rsidRDefault="00E265E6" w:rsidP="00903C60">
      <w:pPr>
        <w:spacing w:after="0" w:line="240" w:lineRule="auto"/>
        <w:rPr>
          <w:b/>
          <w:bCs/>
        </w:rPr>
      </w:pPr>
      <w:r>
        <w:t>2.1 Simplifier le cadre numérique européen</w:t>
      </w:r>
    </w:p>
    <w:p w14:paraId="433004DF" w14:textId="77777777" w:rsidR="00E265E6" w:rsidRPr="00E265E6" w:rsidRDefault="00E265E6" w:rsidP="00903C60">
      <w:pPr>
        <w:spacing w:after="0" w:line="240" w:lineRule="auto"/>
      </w:pPr>
      <w:r>
        <w:t>Les travaux visent à réduire les chevauchements entre plusieurs textes (RGPD, Data Act, cybersécurité et AI Act). Il faut cependant apprécier séparément le statut de chaque amendement, son champ et son éventuelle date d’application.</w:t>
      </w:r>
    </w:p>
    <w:p w14:paraId="2437BA6D" w14:textId="6FDA1390" w:rsidR="00E265E6" w:rsidRDefault="00E265E6" w:rsidP="00903C60">
      <w:pPr>
        <w:spacing w:after="0" w:line="240" w:lineRule="auto"/>
      </w:pPr>
      <w:r>
        <w:t>Les pistes de simplification comprennent notamment</w:t>
      </w:r>
      <w:r w:rsidR="00903C60">
        <w:t> :</w:t>
      </w:r>
    </w:p>
    <w:p w14:paraId="08F7B228" w14:textId="13987A5D" w:rsidR="00E265E6" w:rsidRDefault="00E265E6" w:rsidP="00903C60">
      <w:pPr>
        <w:spacing w:after="0" w:line="240" w:lineRule="auto"/>
      </w:pPr>
      <w:r>
        <w:t>• Pour les données</w:t>
      </w:r>
      <w:r w:rsidR="00903C60">
        <w:t> :</w:t>
      </w:r>
      <w:r>
        <w:t xml:space="preserve"> propositions d’adaptation de certaines règles de gouvernance et de traitement, encore soumises au processus législatif.</w:t>
      </w:r>
    </w:p>
    <w:p w14:paraId="217A51BE" w14:textId="6529E134" w:rsidR="00E265E6" w:rsidRDefault="00E265E6" w:rsidP="00903C60">
      <w:pPr>
        <w:spacing w:after="0" w:line="240" w:lineRule="auto"/>
      </w:pPr>
      <w:r>
        <w:t>• Pour les incidents</w:t>
      </w:r>
      <w:r w:rsidR="00903C60">
        <w:t> :</w:t>
      </w:r>
      <w:r>
        <w:t xml:space="preserve"> propositions de coordination des signalements</w:t>
      </w:r>
      <w:r w:rsidR="00903C60">
        <w:t> ;</w:t>
      </w:r>
      <w:r>
        <w:t xml:space="preserve"> elles ne remplacent pas, en octobre 2026, les délais actuellement applicables du RGPD, de NIS2 ou de DORA.</w:t>
      </w:r>
    </w:p>
    <w:p w14:paraId="6C9EBC1D" w14:textId="3F20B981" w:rsidR="00E265E6" w:rsidRDefault="00E265E6" w:rsidP="00903C60">
      <w:pPr>
        <w:spacing w:after="0" w:line="240" w:lineRule="auto"/>
      </w:pPr>
      <w:r>
        <w:t>• Pour les entreprises</w:t>
      </w:r>
      <w:r w:rsidR="00903C60">
        <w:t> :</w:t>
      </w:r>
      <w:r>
        <w:t xml:space="preserve"> rationalisation souhaitée de certaines formalités, sous réserve de l’adoption du texte correspondant.</w:t>
      </w:r>
    </w:p>
    <w:p w14:paraId="4B7AB31D" w14:textId="7C5A68EA" w:rsidR="00903C60" w:rsidRDefault="00E265E6" w:rsidP="00903C60">
      <w:pPr>
        <w:spacing w:after="0" w:line="240" w:lineRule="auto"/>
      </w:pPr>
      <w:r>
        <w:t>• Pour l’IA</w:t>
      </w:r>
      <w:r w:rsidR="00903C60">
        <w:t> :</w:t>
      </w:r>
      <w:r>
        <w:t xml:space="preserve"> modifications adoptées des délais et de certaines modalités de mise en conformité par le règlement (UE) 2026/1744.</w:t>
      </w:r>
    </w:p>
    <w:p w14:paraId="556AF8C7" w14:textId="6B197A6E" w:rsidR="00E265E6" w:rsidRPr="00E265E6" w:rsidRDefault="00E265E6" w:rsidP="00903C60">
      <w:pPr>
        <w:spacing w:after="0" w:line="240" w:lineRule="auto"/>
        <w:rPr>
          <w:b/>
          <w:bCs/>
        </w:rPr>
      </w:pPr>
      <w:r>
        <w:t>2.2 Renforcer l’innovation et la compétitivité européenne</w:t>
      </w:r>
    </w:p>
    <w:p w14:paraId="03D6CCAE" w14:textId="1600335F" w:rsidR="00E265E6" w:rsidRDefault="00E265E6" w:rsidP="00903C60">
      <w:pPr>
        <w:spacing w:after="0" w:line="240" w:lineRule="auto"/>
      </w:pPr>
      <w:r w:rsidRPr="00E265E6">
        <w:t xml:space="preserve">Le </w:t>
      </w:r>
      <w:r w:rsidRPr="00E265E6">
        <w:rPr>
          <w:i/>
          <w:iCs/>
        </w:rPr>
        <w:t>Digital Omnibus</w:t>
      </w:r>
      <w:r w:rsidRPr="00E265E6">
        <w:t xml:space="preserve"> cherche à</w:t>
      </w:r>
      <w:r w:rsidR="00903C60">
        <w:t> :</w:t>
      </w:r>
    </w:p>
    <w:p w14:paraId="6276CF47" w14:textId="72F21E23" w:rsidR="00E265E6" w:rsidRDefault="00E265E6" w:rsidP="00903C60">
      <w:pPr>
        <w:spacing w:after="0" w:line="240" w:lineRule="auto"/>
      </w:pPr>
      <w:r>
        <w:t>• Adapter certains dispositifs aux petites entreprises et aux petites entreprises de taille intermédiaire (</w:t>
      </w:r>
      <w:r w:rsidR="00903C60">
        <w:t>« </w:t>
      </w:r>
      <w:r>
        <w:t>small mid-caps</w:t>
      </w:r>
      <w:r w:rsidR="00903C60">
        <w:t> »</w:t>
      </w:r>
      <w:r>
        <w:t>) dans les conditions prévues par les textes adoptés.</w:t>
      </w:r>
    </w:p>
    <w:p w14:paraId="02FACD1C" w14:textId="77777777" w:rsidR="00E265E6" w:rsidRDefault="00E265E6" w:rsidP="00903C60">
      <w:pPr>
        <w:spacing w:after="0" w:line="240" w:lineRule="auto"/>
      </w:pPr>
      <w:r>
        <w:t>• Faciliter l’expérimentation et la conformité dans le cadre du règlement IA modifié et des propositions générales.</w:t>
      </w:r>
    </w:p>
    <w:p w14:paraId="6A9B5761" w14:textId="7CDADEAA" w:rsidR="00E265E6" w:rsidRPr="00E265E6" w:rsidRDefault="00E265E6" w:rsidP="00903C60">
      <w:pPr>
        <w:spacing w:after="0" w:line="240" w:lineRule="auto"/>
      </w:pPr>
      <w:r>
        <w:t>• Réduire les coûts administratifs, objectif affiché par la Commission</w:t>
      </w:r>
      <w:r w:rsidR="00903C60">
        <w:t> ;</w:t>
      </w:r>
      <w:r>
        <w:t xml:space="preserve"> son impact effectif dépend des mesures applicables.</w:t>
      </w:r>
    </w:p>
    <w:p w14:paraId="6585DB0F" w14:textId="6E500D25" w:rsidR="00903C60" w:rsidRDefault="00E265E6" w:rsidP="00903C60">
      <w:pPr>
        <w:spacing w:after="0" w:line="240" w:lineRule="auto"/>
      </w:pPr>
      <w:r>
        <w:t>Les gains économiques annoncés par la Commission sont des estimations de politique publique</w:t>
      </w:r>
      <w:r w:rsidR="00903C60">
        <w:t> ;</w:t>
      </w:r>
      <w:r>
        <w:t xml:space="preserve"> ils ne doivent pas être présentés comme des économies déjà constatées.</w:t>
      </w:r>
    </w:p>
    <w:p w14:paraId="5B81D978" w14:textId="3D3641C4" w:rsidR="00E265E6" w:rsidRPr="00E265E6" w:rsidRDefault="00E265E6" w:rsidP="00903C60">
      <w:pPr>
        <w:spacing w:after="0" w:line="240" w:lineRule="auto"/>
        <w:rPr>
          <w:b/>
          <w:bCs/>
        </w:rPr>
      </w:pPr>
      <w:r>
        <w:t>2.3 Concilier simplification et protection</w:t>
      </w:r>
    </w:p>
    <w:p w14:paraId="20927130" w14:textId="77777777" w:rsidR="00903C60" w:rsidRDefault="00E265E6" w:rsidP="00903C60">
      <w:pPr>
        <w:spacing w:after="0" w:line="240" w:lineRule="auto"/>
      </w:pPr>
      <w:r>
        <w:t>La simplification annoncée vise à conserver les objectifs de protection des données, de sécurité et de respect des droits fondamentaux. L’appréciation juridique dépend du texte finalement adopté et de son application.</w:t>
      </w:r>
    </w:p>
    <w:p w14:paraId="16299DC2" w14:textId="5B31CD00" w:rsidR="00E265E6" w:rsidRPr="00E265E6" w:rsidRDefault="00E265E6" w:rsidP="00903C60">
      <w:pPr>
        <w:pStyle w:val="Titre2"/>
        <w:spacing w:before="0" w:after="0" w:line="240" w:lineRule="auto"/>
      </w:pPr>
      <w:r w:rsidRPr="00E265E6">
        <w:t>3) Contenu &amp; portée</w:t>
      </w:r>
    </w:p>
    <w:p w14:paraId="5595E1C2" w14:textId="6F21989A" w:rsidR="00E265E6" w:rsidRPr="00E265E6" w:rsidRDefault="00E265E6" w:rsidP="00903C60">
      <w:pPr>
        <w:spacing w:after="0" w:line="240" w:lineRule="auto"/>
      </w:pPr>
      <w:r>
        <w:t>Le Digital Omnibus général propose des modifications de plusieurs règles sur les données. Le volet AI Omnibus, lui, a déjà modifié le règlement (UE) 2024/1689</w:t>
      </w:r>
      <w:r w:rsidR="00903C60">
        <w:t> :</w:t>
      </w:r>
    </w:p>
    <w:p w14:paraId="7202B7D9" w14:textId="466B1A3F" w:rsidR="00E265E6" w:rsidRDefault="00E265E6" w:rsidP="00903C60">
      <w:pPr>
        <w:spacing w:after="0" w:line="240" w:lineRule="auto"/>
      </w:pPr>
      <w:r>
        <w:t>• RGPD (UE) 2016/679</w:t>
      </w:r>
      <w:r w:rsidR="00903C60">
        <w:t> :</w:t>
      </w:r>
      <w:r>
        <w:t xml:space="preserve"> des adaptations sont envisagées dans le volet général, mais ne peuvent pas être enseignées comme déjà entrées en vigueur.</w:t>
      </w:r>
    </w:p>
    <w:p w14:paraId="6D540102" w14:textId="04D46E3F" w:rsidR="00E265E6" w:rsidRDefault="00E265E6" w:rsidP="00903C60">
      <w:pPr>
        <w:spacing w:after="0" w:line="240" w:lineRule="auto"/>
      </w:pPr>
      <w:r>
        <w:t>• Directive ePrivacy 2002/58/CE</w:t>
      </w:r>
      <w:r w:rsidR="00903C60">
        <w:t> :</w:t>
      </w:r>
      <w:r>
        <w:t xml:space="preserve"> ses dispositions applicables demeurent en vigueur</w:t>
      </w:r>
      <w:r w:rsidR="00903C60">
        <w:t> ;</w:t>
      </w:r>
      <w:r>
        <w:t xml:space="preserve"> certaines adaptations sont discutées dans la simplification numérique.</w:t>
      </w:r>
    </w:p>
    <w:p w14:paraId="4AB78943" w14:textId="6AC692C0" w:rsidR="00E265E6" w:rsidRDefault="00E265E6" w:rsidP="00903C60">
      <w:pPr>
        <w:spacing w:after="0" w:line="240" w:lineRule="auto"/>
      </w:pPr>
      <w:r>
        <w:t>• NIS2 (directive UE 2022/2555)</w:t>
      </w:r>
      <w:r w:rsidR="00903C60">
        <w:t> :</w:t>
      </w:r>
      <w:r>
        <w:t xml:space="preserve"> les obligations et calendriers de notification de la directive doivent être distingués d’éventuelles propositions de simplification.</w:t>
      </w:r>
    </w:p>
    <w:p w14:paraId="7E199997" w14:textId="0A37966D" w:rsidR="00E265E6" w:rsidRDefault="00E265E6" w:rsidP="00903C60">
      <w:pPr>
        <w:spacing w:after="0" w:line="240" w:lineRule="auto"/>
      </w:pPr>
      <w:r>
        <w:t>• AI Act (règlement UE 2024/1689)</w:t>
      </w:r>
      <w:r w:rsidR="00903C60">
        <w:t> :</w:t>
      </w:r>
      <w:r>
        <w:t xml:space="preserve"> modifications effectives par le règlement (UE) 2026/1744, entré en vigueur le 27 juillet 2026.</w:t>
      </w:r>
    </w:p>
    <w:p w14:paraId="37263649" w14:textId="3D7FD3A3" w:rsidR="00E265E6" w:rsidRPr="00E265E6" w:rsidRDefault="00E265E6" w:rsidP="00903C60">
      <w:pPr>
        <w:spacing w:after="0" w:line="240" w:lineRule="auto"/>
      </w:pPr>
      <w:r>
        <w:t>• Data Act et gouvernance des données</w:t>
      </w:r>
      <w:r w:rsidR="00903C60">
        <w:t> :</w:t>
      </w:r>
      <w:r>
        <w:t xml:space="preserve"> des regroupements et modifications sont proposés, sans effet juridique avant adoption et entrée en application.</w:t>
      </w:r>
    </w:p>
    <w:p w14:paraId="4FFD4EE2" w14:textId="11B26A04" w:rsidR="00E265E6" w:rsidRPr="00E265E6" w:rsidRDefault="00E265E6" w:rsidP="00903C60">
      <w:pPr>
        <w:spacing w:after="0" w:line="240" w:lineRule="auto"/>
      </w:pPr>
      <w:r>
        <w:t>Deux situations juridiques doivent être distinguées</w:t>
      </w:r>
      <w:r w:rsidR="00903C60">
        <w:t> :</w:t>
      </w:r>
    </w:p>
    <w:p w14:paraId="43C80F11" w14:textId="1D1FC110" w:rsidR="00E265E6" w:rsidRPr="00E265E6" w:rsidRDefault="00E265E6">
      <w:pPr>
        <w:numPr>
          <w:ilvl w:val="0"/>
          <w:numId w:val="1"/>
        </w:numPr>
        <w:spacing w:after="0" w:line="240" w:lineRule="auto"/>
      </w:pPr>
      <w:r>
        <w:t>1) Digital Omnibus général</w:t>
      </w:r>
      <w:r w:rsidR="00903C60">
        <w:t> :</w:t>
      </w:r>
      <w:r>
        <w:t xml:space="preserve"> proposition du 19 novembre 2025 encore à distinguer du droit applicable.</w:t>
      </w:r>
    </w:p>
    <w:p w14:paraId="6CF6C648" w14:textId="005B9105" w:rsidR="00E265E6" w:rsidRPr="00E265E6" w:rsidRDefault="00E265E6">
      <w:pPr>
        <w:numPr>
          <w:ilvl w:val="0"/>
          <w:numId w:val="1"/>
        </w:numPr>
        <w:spacing w:after="0" w:line="240" w:lineRule="auto"/>
      </w:pPr>
      <w:r>
        <w:lastRenderedPageBreak/>
        <w:t>2) Digital Omnibus on AI</w:t>
      </w:r>
      <w:r w:rsidR="00903C60">
        <w:t> :</w:t>
      </w:r>
      <w:r>
        <w:t xml:space="preserve"> règlement (UE) 2026/1744 adopté le 8 juillet 2026, publié le 24 juillet et entré en vigueur le 27 juillet 2026.</w:t>
      </w:r>
    </w:p>
    <w:p w14:paraId="5221A075" w14:textId="77777777" w:rsidR="00E265E6" w:rsidRPr="00E265E6" w:rsidRDefault="00E265E6" w:rsidP="00903C60">
      <w:pPr>
        <w:pStyle w:val="Titre2"/>
        <w:spacing w:before="0" w:after="0" w:line="240" w:lineRule="auto"/>
      </w:pPr>
      <w:r w:rsidRPr="00E265E6">
        <w:t>4) Chronologie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3"/>
        <w:gridCol w:w="6889"/>
      </w:tblGrid>
      <w:tr w:rsidR="00E265E6" w:rsidRPr="00903C60" w14:paraId="7099C4DD" w14:textId="77777777" w:rsidTr="00903C60">
        <w:trPr>
          <w:tblHeader/>
        </w:trPr>
        <w:tc>
          <w:tcPr>
            <w:tcW w:w="0" w:type="auto"/>
            <w:hideMark/>
          </w:tcPr>
          <w:p w14:paraId="6F157C59" w14:textId="77777777" w:rsidR="00E265E6" w:rsidRPr="00903C60" w:rsidRDefault="00E265E6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Date</w:t>
            </w:r>
          </w:p>
        </w:tc>
        <w:tc>
          <w:tcPr>
            <w:tcW w:w="0" w:type="auto"/>
            <w:hideMark/>
          </w:tcPr>
          <w:p w14:paraId="265045FD" w14:textId="77777777" w:rsidR="00E265E6" w:rsidRPr="00903C60" w:rsidRDefault="00E265E6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Événement</w:t>
            </w:r>
          </w:p>
        </w:tc>
      </w:tr>
      <w:tr w:rsidR="00E265E6" w:rsidRPr="00903C60" w14:paraId="5677B81B" w14:textId="77777777" w:rsidTr="00903C60">
        <w:tc>
          <w:tcPr>
            <w:tcW w:w="0" w:type="auto"/>
            <w:hideMark/>
          </w:tcPr>
          <w:p w14:paraId="562236D7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16 septembre 2025</w:t>
            </w:r>
          </w:p>
        </w:tc>
        <w:tc>
          <w:tcPr>
            <w:tcW w:w="0" w:type="auto"/>
            <w:hideMark/>
          </w:tcPr>
          <w:p w14:paraId="799EA6F3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Consultation préalable sur la simplification du cadre numérique.</w:t>
            </w:r>
          </w:p>
        </w:tc>
      </w:tr>
      <w:tr w:rsidR="00E265E6" w:rsidRPr="00903C60" w14:paraId="2C1430C6" w14:textId="77777777" w:rsidTr="00903C60">
        <w:tc>
          <w:tcPr>
            <w:tcW w:w="0" w:type="auto"/>
            <w:hideMark/>
          </w:tcPr>
          <w:p w14:paraId="49DEB927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19 novembre 2025</w:t>
            </w:r>
          </w:p>
        </w:tc>
        <w:tc>
          <w:tcPr>
            <w:tcW w:w="0" w:type="auto"/>
            <w:hideMark/>
          </w:tcPr>
          <w:p w14:paraId="0071E2BE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Présentation par la Commission des propositions Digital Omnibus, dont le volet IA.</w:t>
            </w:r>
          </w:p>
        </w:tc>
      </w:tr>
      <w:tr w:rsidR="00E265E6" w:rsidRPr="00903C60" w14:paraId="6A6CFD72" w14:textId="77777777" w:rsidTr="00903C60">
        <w:tc>
          <w:tcPr>
            <w:tcW w:w="0" w:type="auto"/>
            <w:hideMark/>
          </w:tcPr>
          <w:p w14:paraId="1D9FD3AE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7 mai 2026</w:t>
            </w:r>
          </w:p>
        </w:tc>
        <w:tc>
          <w:tcPr>
            <w:tcW w:w="0" w:type="auto"/>
            <w:hideMark/>
          </w:tcPr>
          <w:p w14:paraId="17887E96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Accord politique sur la simplification ciblée de l’AI Act.</w:t>
            </w:r>
          </w:p>
        </w:tc>
      </w:tr>
      <w:tr w:rsidR="00E265E6" w:rsidRPr="00903C60" w14:paraId="1F86D108" w14:textId="77777777" w:rsidTr="00903C60">
        <w:tc>
          <w:tcPr>
            <w:tcW w:w="0" w:type="auto"/>
            <w:hideMark/>
          </w:tcPr>
          <w:p w14:paraId="7243E267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8 juillet 2026</w:t>
            </w:r>
          </w:p>
        </w:tc>
        <w:tc>
          <w:tcPr>
            <w:tcW w:w="0" w:type="auto"/>
            <w:hideMark/>
          </w:tcPr>
          <w:p w14:paraId="315185CD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Adoption du règlement (UE) 2026/1744 (AI Omnibus).</w:t>
            </w:r>
          </w:p>
        </w:tc>
      </w:tr>
      <w:tr w:rsidR="00E265E6" w:rsidRPr="00903C60" w14:paraId="4B99BAB0" w14:textId="77777777" w:rsidTr="00903C60">
        <w:tc>
          <w:tcPr>
            <w:tcW w:w="0" w:type="auto"/>
            <w:hideMark/>
          </w:tcPr>
          <w:p w14:paraId="120DE54B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24 juillet 2026</w:t>
            </w:r>
          </w:p>
        </w:tc>
        <w:tc>
          <w:tcPr>
            <w:tcW w:w="0" w:type="auto"/>
            <w:hideMark/>
          </w:tcPr>
          <w:p w14:paraId="3A22295D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Publication de ce règlement au JOUE.</w:t>
            </w:r>
          </w:p>
        </w:tc>
      </w:tr>
      <w:tr w:rsidR="00E265E6" w:rsidRPr="00903C60" w14:paraId="6179155E" w14:textId="77777777" w:rsidTr="00903C60">
        <w:tc>
          <w:tcPr>
            <w:tcW w:w="0" w:type="auto"/>
            <w:hideMark/>
          </w:tcPr>
          <w:p w14:paraId="639BCCF9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27 juillet 2026</w:t>
            </w:r>
          </w:p>
        </w:tc>
        <w:tc>
          <w:tcPr>
            <w:tcW w:w="0" w:type="auto"/>
            <w:hideMark/>
          </w:tcPr>
          <w:p w14:paraId="6B1360E5" w14:textId="77777777" w:rsidR="00500246" w:rsidRPr="00903C60" w:rsidRDefault="00000000" w:rsidP="00903C60">
            <w:pPr>
              <w:jc w:val="left"/>
              <w:rPr>
                <w:rFonts w:ascii="Calibri" w:hAnsi="Calibri"/>
                <w:sz w:val="20"/>
              </w:rPr>
            </w:pPr>
            <w:r w:rsidRPr="00903C60">
              <w:rPr>
                <w:rFonts w:ascii="Calibri" w:hAnsi="Calibri"/>
                <w:sz w:val="20"/>
              </w:rPr>
              <w:t>Entrée en vigueur du volet AI Omnibus.</w:t>
            </w:r>
          </w:p>
        </w:tc>
      </w:tr>
    </w:tbl>
    <w:p w14:paraId="7D35B1CD" w14:textId="7EE7CDED" w:rsidR="00E265E6" w:rsidRPr="00E265E6" w:rsidRDefault="00E265E6" w:rsidP="00903C60">
      <w:pPr>
        <w:spacing w:after="0" w:line="240" w:lineRule="auto"/>
      </w:pPr>
      <w:r>
        <w:t>Le volet IA est adopté</w:t>
      </w:r>
      <w:r w:rsidR="00903C60">
        <w:t> ;</w:t>
      </w:r>
      <w:r>
        <w:t xml:space="preserve"> le volet général portant notamment sur les données ne doit pas être présenté comme définitivement adopté en l’absence d’un acte publié correspondant.</w:t>
      </w:r>
    </w:p>
    <w:p w14:paraId="0FF312F1" w14:textId="77777777" w:rsidR="00E265E6" w:rsidRPr="00E265E6" w:rsidRDefault="00E265E6" w:rsidP="00903C60">
      <w:pPr>
        <w:pStyle w:val="Titre2"/>
        <w:spacing w:before="0" w:after="0" w:line="240" w:lineRule="auto"/>
      </w:pPr>
      <w:r w:rsidRPr="00E265E6">
        <w:t>5) Avancement &amp; débats (statut 2026)</w:t>
      </w:r>
    </w:p>
    <w:p w14:paraId="7B2A58A0" w14:textId="77777777" w:rsidR="00E265E6" w:rsidRDefault="00E265E6" w:rsidP="00903C60">
      <w:pPr>
        <w:spacing w:after="0" w:line="240" w:lineRule="auto"/>
      </w:pPr>
      <w:r>
        <w:t>Statut des dispositions au 19 octobre 2026</w:t>
      </w:r>
    </w:p>
    <w:p w14:paraId="2296F15B" w14:textId="7C35CEFD" w:rsidR="00E265E6" w:rsidRPr="00E265E6" w:rsidRDefault="00E265E6" w:rsidP="00903C60">
      <w:pPr>
        <w:spacing w:after="0" w:line="240" w:lineRule="auto"/>
      </w:pPr>
      <w:r>
        <w:t>• AI Omnibus</w:t>
      </w:r>
      <w:r w:rsidR="00903C60">
        <w:t> :</w:t>
      </w:r>
      <w:r>
        <w:t xml:space="preserve"> règlement (UE) 2026/1744 en vigueur</w:t>
      </w:r>
      <w:r w:rsidR="00903C60">
        <w:t> ;</w:t>
      </w:r>
      <w:r>
        <w:t xml:space="preserve"> règles relatives aux systèmes d’IA à haut risque de l’annexe III applicables en principe le 2 décembre 2027, et de l’annexe I le 2 août 2028.</w:t>
      </w:r>
    </w:p>
    <w:p w14:paraId="13B5F406" w14:textId="77777777" w:rsidR="00E265E6" w:rsidRDefault="00E265E6" w:rsidP="00903C60">
      <w:pPr>
        <w:spacing w:after="0" w:line="240" w:lineRule="auto"/>
      </w:pPr>
      <w:r>
        <w:t>Débat institutionnel</w:t>
      </w:r>
    </w:p>
    <w:p w14:paraId="465F33FD" w14:textId="77777777" w:rsidR="00E265E6" w:rsidRDefault="00E265E6" w:rsidP="00903C60">
      <w:pPr>
        <w:spacing w:after="0" w:line="240" w:lineRule="auto"/>
      </w:pPr>
      <w:r>
        <w:t>• Les amendements en matière de données restent examinés sous l’angle de la protection des droits, de la sécurité juridique et de la charge de conformité.</w:t>
      </w:r>
    </w:p>
    <w:p w14:paraId="4D5A5863" w14:textId="77777777" w:rsidR="00E265E6" w:rsidRPr="00E265E6" w:rsidRDefault="00E265E6" w:rsidP="00903C60">
      <w:pPr>
        <w:spacing w:after="0" w:line="240" w:lineRule="auto"/>
      </w:pPr>
      <w:r>
        <w:t>• Une analyse critique doit distinguer les intentions de simplification, les positions des parties prenantes et les effets juridiques vérifiables.</w:t>
      </w:r>
    </w:p>
    <w:p w14:paraId="1DFDA1E3" w14:textId="77777777" w:rsidR="00E265E6" w:rsidRDefault="00E265E6" w:rsidP="00903C60">
      <w:pPr>
        <w:spacing w:after="0" w:line="240" w:lineRule="auto"/>
      </w:pPr>
      <w:r>
        <w:t>Évolutions restant à suivre</w:t>
      </w:r>
    </w:p>
    <w:p w14:paraId="263845BA" w14:textId="7CA6AA05" w:rsidR="00E265E6" w:rsidRDefault="00E265E6" w:rsidP="00903C60">
      <w:pPr>
        <w:spacing w:after="0" w:line="240" w:lineRule="auto"/>
      </w:pPr>
      <w:r>
        <w:t>• Adoption ou modification éventuelle du volet général</w:t>
      </w:r>
      <w:r w:rsidR="00903C60">
        <w:t> :</w:t>
      </w:r>
      <w:r>
        <w:t xml:space="preserve"> consulter la procédure législative et la version publiée au JOUE.</w:t>
      </w:r>
    </w:p>
    <w:p w14:paraId="66AED866" w14:textId="39A7AE77" w:rsidR="00903C60" w:rsidRDefault="00E265E6" w:rsidP="00903C60">
      <w:pPr>
        <w:spacing w:after="0" w:line="240" w:lineRule="auto"/>
      </w:pPr>
      <w:r>
        <w:t>• Mesures d’application et précisions techniques</w:t>
      </w:r>
      <w:r w:rsidR="00903C60">
        <w:t> :</w:t>
      </w:r>
      <w:r>
        <w:t xml:space="preserve"> distinguer règlement en vigueur, obligation immédiatement applicable et échéance future.</w:t>
      </w:r>
    </w:p>
    <w:p w14:paraId="500BB9BA" w14:textId="2D0CFF67" w:rsidR="00E265E6" w:rsidRPr="00E265E6" w:rsidRDefault="00E265E6" w:rsidP="00903C60">
      <w:pPr>
        <w:spacing w:after="0" w:line="240" w:lineRule="auto"/>
        <w:rPr>
          <w:b/>
          <w:bCs/>
        </w:rPr>
      </w:pPr>
      <w:r>
        <w:t>À retenir</w:t>
      </w:r>
    </w:p>
    <w:p w14:paraId="6CE0F11B" w14:textId="62307908" w:rsidR="00E265E6" w:rsidRPr="00E265E6" w:rsidRDefault="00E265E6" w:rsidP="00903C60">
      <w:pPr>
        <w:spacing w:after="0" w:line="240" w:lineRule="auto"/>
      </w:pPr>
      <w:r>
        <w:t>Le paquet Digital Omnibus présenté en novembre 2025 ne doit pas être traité comme un règlement unique</w:t>
      </w:r>
      <w:r w:rsidR="00903C60">
        <w:t> :</w:t>
      </w:r>
    </w:p>
    <w:p w14:paraId="0C8E7F2A" w14:textId="77777777" w:rsidR="00E265E6" w:rsidRDefault="00E265E6" w:rsidP="00903C60">
      <w:pPr>
        <w:spacing w:after="0" w:line="240" w:lineRule="auto"/>
      </w:pPr>
      <w:r>
        <w:t>• Le règlement (UE) 2026/1744 a déjà modifié l’AI Act.</w:t>
      </w:r>
    </w:p>
    <w:p w14:paraId="51B12687" w14:textId="77777777" w:rsidR="00E265E6" w:rsidRDefault="00E265E6" w:rsidP="00903C60">
      <w:pPr>
        <w:spacing w:after="0" w:line="240" w:lineRule="auto"/>
      </w:pPr>
      <w:r>
        <w:t>• Le Digital Omnibus général comporte des propositions de simplification en matière de données et de conformité.</w:t>
      </w:r>
    </w:p>
    <w:p w14:paraId="02E36854" w14:textId="77777777" w:rsidR="00903C60" w:rsidRDefault="00E265E6" w:rsidP="00903C60">
      <w:pPr>
        <w:spacing w:after="0" w:line="240" w:lineRule="auto"/>
      </w:pPr>
      <w:r>
        <w:t>• La date d’adoption, l’entrée en vigueur et l’entrée en application doivent être vérifiées pour chaque disposition.</w:t>
      </w:r>
    </w:p>
    <w:p w14:paraId="743954CC" w14:textId="31B9DCA8" w:rsidR="00180DFD" w:rsidRPr="00B35D1F" w:rsidRDefault="00180DFD" w:rsidP="00903C60">
      <w:pPr>
        <w:spacing w:after="0" w:line="240" w:lineRule="auto"/>
        <w:rPr>
          <w:b/>
          <w:bCs/>
          <w:color w:val="EE0000"/>
          <w:sz w:val="24"/>
          <w:szCs w:val="24"/>
        </w:rPr>
      </w:pPr>
      <w:r>
        <w:t>Exercice de veille</w:t>
      </w:r>
      <w:r w:rsidR="00903C60">
        <w:t> :</w:t>
      </w:r>
      <w:r>
        <w:t xml:space="preserve"> confronter une annonce de réforme à la version du texte effectivement publiée au Journal officiel de l’Union européenne.</w:t>
      </w:r>
    </w:p>
    <w:p w14:paraId="5676FA10" w14:textId="77777777" w:rsidR="00500246" w:rsidRDefault="00000000" w:rsidP="00903C60">
      <w:pPr>
        <w:pStyle w:val="Titre2"/>
        <w:spacing w:before="0" w:after="0" w:line="240" w:lineRule="auto"/>
      </w:pPr>
      <w:r>
        <w:t>Repères d’application de l’AI Act modifié</w:t>
      </w:r>
    </w:p>
    <w:p w14:paraId="2D641DA4" w14:textId="02F729CB" w:rsidR="00500246" w:rsidRDefault="00000000" w:rsidP="00903C60">
      <w:pPr>
        <w:spacing w:after="0" w:line="240" w:lineRule="auto"/>
      </w:pPr>
      <w:r>
        <w:t>2 février 2025</w:t>
      </w:r>
      <w:r w:rsidR="00903C60">
        <w:t> :</w:t>
      </w:r>
      <w:r>
        <w:t xml:space="preserve"> interdictions de certaines pratiques d’IA et obligations relatives à la maîtrise de l’IA (AI literacy).</w:t>
      </w:r>
    </w:p>
    <w:p w14:paraId="74D1F0A5" w14:textId="422FAD17" w:rsidR="00500246" w:rsidRDefault="00000000" w:rsidP="00903C60">
      <w:pPr>
        <w:spacing w:after="0" w:line="240" w:lineRule="auto"/>
      </w:pPr>
      <w:r>
        <w:t>2 août 2025</w:t>
      </w:r>
      <w:r w:rsidR="00903C60">
        <w:t> :</w:t>
      </w:r>
      <w:r>
        <w:t xml:space="preserve"> dispositions de gouvernance et obligations relatives aux modèles d’IA à usage général.</w:t>
      </w:r>
    </w:p>
    <w:p w14:paraId="3509E281" w14:textId="1AF0C400" w:rsidR="00500246" w:rsidRDefault="00000000" w:rsidP="00903C60">
      <w:pPr>
        <w:spacing w:after="0" w:line="240" w:lineRule="auto"/>
      </w:pPr>
      <w:r>
        <w:t>2 août 2026</w:t>
      </w:r>
      <w:r w:rsidR="00903C60">
        <w:t> :</w:t>
      </w:r>
      <w:r>
        <w:t xml:space="preserve"> application générale de l’AI Act, sous réserve des exceptions et modifications adoptées.</w:t>
      </w:r>
    </w:p>
    <w:p w14:paraId="57432C61" w14:textId="753CE2CA" w:rsidR="00500246" w:rsidRDefault="00000000" w:rsidP="00903C60">
      <w:pPr>
        <w:spacing w:after="0" w:line="240" w:lineRule="auto"/>
      </w:pPr>
      <w:r>
        <w:t>2 décembre 2027</w:t>
      </w:r>
      <w:r w:rsidR="00903C60">
        <w:t> :</w:t>
      </w:r>
      <w:r>
        <w:t xml:space="preserve"> obligations principales des systèmes classés à haut risque au titre de l’annexe III</w:t>
      </w:r>
      <w:r w:rsidR="00903C60">
        <w:t> ;</w:t>
      </w:r>
      <w:r>
        <w:t xml:space="preserve"> 2 août 2028 pour les systèmes de l’annexe I.</w:t>
      </w:r>
    </w:p>
    <w:sectPr w:rsidR="00500246" w:rsidSect="00903C60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91E8F" w14:textId="77777777" w:rsidR="00D738E7" w:rsidRDefault="00D738E7" w:rsidP="00B870C7">
      <w:r>
        <w:separator/>
      </w:r>
    </w:p>
  </w:endnote>
  <w:endnote w:type="continuationSeparator" w:id="0">
    <w:p w14:paraId="64CB0677" w14:textId="77777777" w:rsidR="00D738E7" w:rsidRDefault="00D738E7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BB63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6CA7E" w14:textId="77777777" w:rsidR="00D738E7" w:rsidRDefault="00D738E7" w:rsidP="00B870C7">
      <w:r>
        <w:separator/>
      </w:r>
    </w:p>
  </w:footnote>
  <w:footnote w:type="continuationSeparator" w:id="0">
    <w:p w14:paraId="02059D50" w14:textId="77777777" w:rsidR="00D738E7" w:rsidRDefault="00D738E7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25F34"/>
    <w:multiLevelType w:val="multilevel"/>
    <w:tmpl w:val="0F56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17416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3594E"/>
    <w:rsid w:val="00135CDD"/>
    <w:rsid w:val="001666DB"/>
    <w:rsid w:val="00180DFD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0246"/>
    <w:rsid w:val="0050112B"/>
    <w:rsid w:val="0050499A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03C60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35D1F"/>
    <w:rsid w:val="00B40D8E"/>
    <w:rsid w:val="00B507B1"/>
    <w:rsid w:val="00B649B3"/>
    <w:rsid w:val="00B65E49"/>
    <w:rsid w:val="00B870C7"/>
    <w:rsid w:val="00B9030D"/>
    <w:rsid w:val="00B906BB"/>
    <w:rsid w:val="00B91E3A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738E7"/>
    <w:rsid w:val="00DA6E3D"/>
    <w:rsid w:val="00DD2902"/>
    <w:rsid w:val="00DE760B"/>
    <w:rsid w:val="00E07964"/>
    <w:rsid w:val="00E265E6"/>
    <w:rsid w:val="00E5775F"/>
    <w:rsid w:val="00E64CAC"/>
    <w:rsid w:val="00E9016D"/>
    <w:rsid w:val="00ED2059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39522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  <w:style w:type="table" w:styleId="TableauGrille4-Accentuation1">
    <w:name w:val="Grid Table 4 Accent 1"/>
    <w:basedOn w:val="TableauNormal"/>
    <w:uiPriority w:val="49"/>
    <w:rsid w:val="00E265E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1029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2026-02-18T07:58:00Z</dcterms:created>
  <dcterms:modified xsi:type="dcterms:W3CDTF">2026-10-19T15:23:00Z</dcterms:modified>
</cp:coreProperties>
</file>