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874E2" w14:textId="77777777" w:rsidR="00620090" w:rsidRPr="00620090" w:rsidRDefault="00620090" w:rsidP="000C4401">
      <w:pPr>
        <w:pStyle w:val="Titre1"/>
        <w:spacing w:before="0" w:after="0"/>
      </w:pPr>
      <w:r>
        <w:t>I</w:t>
      </w:r>
      <w:r w:rsidRPr="00620090">
        <w:t>ndicateurs de performance pour un système d’information</w:t>
      </w:r>
    </w:p>
    <w:p w14:paraId="26D8C8FC" w14:textId="233BD1E5" w:rsidR="00620090" w:rsidRPr="00620090" w:rsidRDefault="00620090" w:rsidP="000C4401">
      <w:pPr>
        <w:numPr>
          <w:ilvl w:val="0"/>
          <w:numId w:val="8"/>
        </w:numPr>
        <w:spacing w:after="0"/>
      </w:pPr>
      <w:r w:rsidRPr="00620090">
        <w:rPr>
          <w:b/>
          <w:bCs/>
        </w:rPr>
        <w:t>Disponibilité</w:t>
      </w:r>
      <w:r w:rsidR="000C4401">
        <w:rPr>
          <w:b/>
          <w:bCs/>
        </w:rPr>
        <w:t> :</w:t>
      </w:r>
      <w:r w:rsidRPr="00620090">
        <w:rPr>
          <w:b/>
          <w:bCs/>
        </w:rPr>
        <w:t xml:space="preserve"> pourcentage du temps durant lequel un service respecte les conditions d’accessibilité définies sur une période. Formule simple</w:t>
      </w:r>
      <w:r w:rsidR="000C4401">
        <w:rPr>
          <w:b/>
          <w:bCs/>
        </w:rPr>
        <w:t> :</w:t>
      </w:r>
      <w:r w:rsidRPr="00620090">
        <w:rPr>
          <w:b/>
          <w:bCs/>
        </w:rPr>
        <w:t xml:space="preserve"> (temps prévu – indisponibilité retenue) / temps prévu × 100. Exclure ou non les maintenances selon la convention annoncée</w:t>
      </w:r>
      <w:r w:rsidR="000C4401">
        <w:rPr>
          <w:b/>
          <w:bCs/>
        </w:rPr>
        <w:t> ;</w:t>
      </w:r>
      <w:r w:rsidRPr="00620090">
        <w:rPr>
          <w:b/>
          <w:bCs/>
        </w:rPr>
        <w:t xml:space="preserve"> la cible découle des besoins métiers.</w:t>
      </w:r>
    </w:p>
    <w:p w14:paraId="65A33EF1" w14:textId="39674FAA" w:rsidR="00620090" w:rsidRPr="00620090" w:rsidRDefault="00620090" w:rsidP="000C4401">
      <w:pPr>
        <w:numPr>
          <w:ilvl w:val="0"/>
          <w:numId w:val="8"/>
        </w:numPr>
        <w:spacing w:after="0"/>
      </w:pPr>
      <w:r w:rsidRPr="00620090">
        <w:rPr>
          <w:b/>
          <w:bCs/>
        </w:rPr>
        <w:t>Temps de réponse</w:t>
      </w:r>
      <w:r w:rsidR="000C4401">
        <w:rPr>
          <w:b/>
          <w:bCs/>
        </w:rPr>
        <w:t> :</w:t>
      </w:r>
      <w:r w:rsidRPr="00620090">
        <w:rPr>
          <w:b/>
          <w:bCs/>
        </w:rPr>
        <w:t xml:space="preserve"> durée entre une demande et une réponse observable</w:t>
      </w:r>
      <w:r w:rsidR="000C4401">
        <w:rPr>
          <w:b/>
          <w:bCs/>
        </w:rPr>
        <w:t> ;</w:t>
      </w:r>
      <w:r w:rsidRPr="00620090">
        <w:rPr>
          <w:b/>
          <w:bCs/>
        </w:rPr>
        <w:t xml:space="preserve"> indiquer le scénario, les utilisateurs concernés et la mesure retenue (médiane, 95e percentile, etc.). Une moyenne peut masquer les délais extrêmes.</w:t>
      </w:r>
    </w:p>
    <w:p w14:paraId="42B283C2" w14:textId="6D7C33A9" w:rsidR="00620090" w:rsidRPr="00620090" w:rsidRDefault="00620090" w:rsidP="000C4401">
      <w:pPr>
        <w:numPr>
          <w:ilvl w:val="0"/>
          <w:numId w:val="8"/>
        </w:numPr>
        <w:spacing w:after="0"/>
      </w:pPr>
      <w:r w:rsidRPr="00620090">
        <w:rPr>
          <w:b/>
          <w:bCs/>
        </w:rPr>
        <w:t>Satisfaction des utilisateurs</w:t>
      </w:r>
      <w:r w:rsidR="000C4401">
        <w:rPr>
          <w:b/>
          <w:bCs/>
        </w:rPr>
        <w:t> :</w:t>
      </w:r>
      <w:r w:rsidRPr="00620090">
        <w:rPr>
          <w:b/>
          <w:bCs/>
        </w:rPr>
        <w:t xml:space="preserve"> part des réponses favorables à une enquête sur un échantillon et une période définis</w:t>
      </w:r>
      <w:r w:rsidR="000C4401">
        <w:rPr>
          <w:b/>
          <w:bCs/>
        </w:rPr>
        <w:t> ;</w:t>
      </w:r>
      <w:r w:rsidRPr="00620090">
        <w:rPr>
          <w:b/>
          <w:bCs/>
        </w:rPr>
        <w:t xml:space="preserve"> préciser question, base de calcul et taux de réponse. Un usage fréquent ne prouve pas une satisfaction élevée.</w:t>
      </w:r>
    </w:p>
    <w:p w14:paraId="55758C02" w14:textId="5CEED85E" w:rsidR="00620090" w:rsidRPr="00620090" w:rsidRDefault="00620090" w:rsidP="000C4401">
      <w:pPr>
        <w:numPr>
          <w:ilvl w:val="0"/>
          <w:numId w:val="8"/>
        </w:numPr>
        <w:spacing w:after="0"/>
      </w:pPr>
      <w:r w:rsidRPr="00620090">
        <w:rPr>
          <w:b/>
          <w:bCs/>
        </w:rPr>
        <w:t>Taux d’erreurs</w:t>
      </w:r>
      <w:r w:rsidR="000C4401">
        <w:rPr>
          <w:b/>
          <w:bCs/>
        </w:rPr>
        <w:t> :</w:t>
      </w:r>
      <w:r w:rsidRPr="00620090">
        <w:rPr>
          <w:b/>
          <w:bCs/>
        </w:rPr>
        <w:t xml:space="preserve"> nombre d’opérations erronées / nombre total d’opérations observées × 100, en explicitant ce qui constitue une erreur. Distinguer défaut technique, échec utilisateur et anomalie de donnée.</w:t>
      </w:r>
    </w:p>
    <w:p w14:paraId="1988FD19" w14:textId="67DCCD6F" w:rsidR="00620090" w:rsidRPr="00620090" w:rsidRDefault="00620090" w:rsidP="000C4401">
      <w:pPr>
        <w:numPr>
          <w:ilvl w:val="0"/>
          <w:numId w:val="8"/>
        </w:numPr>
        <w:spacing w:after="0"/>
      </w:pPr>
      <w:r w:rsidRPr="00620090">
        <w:rPr>
          <w:b/>
          <w:bCs/>
        </w:rPr>
        <w:t>Temps moyen de traitement des incidents (MTTR, selon convention)</w:t>
      </w:r>
      <w:r w:rsidR="000C4401">
        <w:rPr>
          <w:b/>
          <w:bCs/>
        </w:rPr>
        <w:t> :</w:t>
      </w:r>
      <w:r w:rsidRPr="00620090">
        <w:rPr>
          <w:b/>
          <w:bCs/>
        </w:rPr>
        <w:t xml:space="preserve"> délai moyen entre le point de départ défini (détection, signalement) et la résolution ou restauration du service. Le sigle MTTR pouvant aussi désigner Mean Time To </w:t>
      </w:r>
      <w:proofErr w:type="spellStart"/>
      <w:r w:rsidRPr="00620090">
        <w:rPr>
          <w:b/>
          <w:bCs/>
        </w:rPr>
        <w:t>Repair</w:t>
      </w:r>
      <w:proofErr w:type="spellEnd"/>
      <w:r w:rsidRPr="00620090">
        <w:rPr>
          <w:b/>
          <w:bCs/>
        </w:rPr>
        <w:t xml:space="preserve"> ou Mean Time To Restore, définir le sens avant de comparer les mesures.</w:t>
      </w:r>
    </w:p>
    <w:p w14:paraId="37626FCA" w14:textId="5BD250CB" w:rsidR="00620090" w:rsidRPr="00620090" w:rsidRDefault="00620090" w:rsidP="000C4401">
      <w:pPr>
        <w:numPr>
          <w:ilvl w:val="0"/>
          <w:numId w:val="8"/>
        </w:numPr>
        <w:spacing w:after="0"/>
      </w:pPr>
      <w:r w:rsidRPr="00620090">
        <w:rPr>
          <w:b/>
          <w:bCs/>
        </w:rPr>
        <w:t xml:space="preserve">Temps moyen entre défaillances (MTBF – Mean Time </w:t>
      </w:r>
      <w:proofErr w:type="spellStart"/>
      <w:r w:rsidRPr="00620090">
        <w:rPr>
          <w:b/>
          <w:bCs/>
        </w:rPr>
        <w:t>Between</w:t>
      </w:r>
      <w:proofErr w:type="spellEnd"/>
      <w:r w:rsidRPr="00620090">
        <w:rPr>
          <w:b/>
          <w:bCs/>
        </w:rPr>
        <w:t xml:space="preserve"> </w:t>
      </w:r>
      <w:proofErr w:type="spellStart"/>
      <w:r w:rsidRPr="00620090">
        <w:rPr>
          <w:b/>
          <w:bCs/>
        </w:rPr>
        <w:t>Failures</w:t>
      </w:r>
      <w:proofErr w:type="spellEnd"/>
      <w:r w:rsidRPr="00620090">
        <w:rPr>
          <w:b/>
          <w:bCs/>
        </w:rPr>
        <w:t>)</w:t>
      </w:r>
      <w:r w:rsidR="000C4401">
        <w:rPr>
          <w:b/>
          <w:bCs/>
        </w:rPr>
        <w:t> :</w:t>
      </w:r>
      <w:r w:rsidRPr="00620090">
        <w:rPr>
          <w:b/>
          <w:bCs/>
        </w:rPr>
        <w:t xml:space="preserve"> durée moyenne de fonctionnement entre deux défaillances successives d’un système réparable. À ne pas confondre avec MTTF (Mean Time To Failure), souvent utilisé pour un composant non réparable.</w:t>
      </w:r>
    </w:p>
    <w:p w14:paraId="56676BB4" w14:textId="76272C2F" w:rsidR="00620090" w:rsidRPr="00620090" w:rsidRDefault="00620090" w:rsidP="000C4401">
      <w:pPr>
        <w:numPr>
          <w:ilvl w:val="0"/>
          <w:numId w:val="8"/>
        </w:numPr>
        <w:spacing w:after="0"/>
      </w:pPr>
      <w:r w:rsidRPr="00620090">
        <w:rPr>
          <w:b/>
          <w:bCs/>
        </w:rPr>
        <w:t>Coût par transaction</w:t>
      </w:r>
      <w:r w:rsidR="000C4401">
        <w:rPr>
          <w:b/>
          <w:bCs/>
        </w:rPr>
        <w:t> :</w:t>
      </w:r>
      <w:r w:rsidRPr="00620090">
        <w:rPr>
          <w:b/>
          <w:bCs/>
        </w:rPr>
        <w:t xml:space="preserve"> coûts imputés au service sur la période / nombre de transactions prises en compte. Définir le périmètre de coût (hébergement, licences, personnel, sous-traitance, maintenance) et éviter une comparaison hors périmètre.</w:t>
      </w:r>
    </w:p>
    <w:p w14:paraId="589BB1A1" w14:textId="6CEBFB3C" w:rsidR="00620090" w:rsidRPr="00620090" w:rsidRDefault="00620090" w:rsidP="000C4401">
      <w:pPr>
        <w:numPr>
          <w:ilvl w:val="0"/>
          <w:numId w:val="8"/>
        </w:numPr>
        <w:spacing w:after="0"/>
      </w:pPr>
      <w:r w:rsidRPr="00620090">
        <w:rPr>
          <w:b/>
          <w:bCs/>
        </w:rPr>
        <w:t>Taux de conformité</w:t>
      </w:r>
      <w:r w:rsidR="000C4401">
        <w:rPr>
          <w:b/>
          <w:bCs/>
        </w:rPr>
        <w:t> :</w:t>
      </w:r>
      <w:r w:rsidRPr="00620090">
        <w:rPr>
          <w:b/>
          <w:bCs/>
        </w:rPr>
        <w:t xml:space="preserve"> part des contrôles satisfaits parmi les contrôles applicables sur un périmètre défini. Un pourcentage global ne démontre pas le respect de toutes les obligations légales</w:t>
      </w:r>
      <w:r w:rsidR="000C4401">
        <w:rPr>
          <w:b/>
          <w:bCs/>
        </w:rPr>
        <w:t> ;</w:t>
      </w:r>
      <w:r w:rsidRPr="00620090">
        <w:rPr>
          <w:b/>
          <w:bCs/>
        </w:rPr>
        <w:t xml:space="preserve"> les non-conformités majeures doivent être isolées.</w:t>
      </w:r>
    </w:p>
    <w:p w14:paraId="67FA5423" w14:textId="33DFFE2A" w:rsidR="00620090" w:rsidRPr="00620090" w:rsidRDefault="00620090" w:rsidP="000C4401">
      <w:pPr>
        <w:numPr>
          <w:ilvl w:val="0"/>
          <w:numId w:val="8"/>
        </w:numPr>
        <w:spacing w:after="0"/>
      </w:pPr>
      <w:r w:rsidRPr="00620090">
        <w:rPr>
          <w:b/>
          <w:bCs/>
        </w:rPr>
        <w:t>Capacité de traitement</w:t>
      </w:r>
      <w:r w:rsidR="000C4401">
        <w:rPr>
          <w:b/>
          <w:bCs/>
        </w:rPr>
        <w:t> :</w:t>
      </w:r>
      <w:r w:rsidRPr="00620090">
        <w:rPr>
          <w:b/>
          <w:bCs/>
        </w:rPr>
        <w:t xml:space="preserve"> débit observé (opérations ou données par unité de temps) sous une charge et une infrastructure spécifiées</w:t>
      </w:r>
      <w:r w:rsidR="000C4401">
        <w:rPr>
          <w:b/>
          <w:bCs/>
        </w:rPr>
        <w:t> ;</w:t>
      </w:r>
      <w:r w:rsidRPr="00620090">
        <w:rPr>
          <w:b/>
          <w:bCs/>
        </w:rPr>
        <w:t xml:space="preserve"> confronter au volume métier et aux pics prévus.</w:t>
      </w:r>
    </w:p>
    <w:p w14:paraId="097ABD14" w14:textId="4A5AE8D3" w:rsidR="00620090" w:rsidRPr="00620090" w:rsidRDefault="00620090" w:rsidP="000C4401">
      <w:pPr>
        <w:numPr>
          <w:ilvl w:val="0"/>
          <w:numId w:val="8"/>
        </w:numPr>
        <w:spacing w:after="0"/>
      </w:pPr>
      <w:r w:rsidRPr="00620090">
        <w:rPr>
          <w:b/>
          <w:bCs/>
        </w:rPr>
        <w:t>Délai d’intégration</w:t>
      </w:r>
      <w:r w:rsidR="000C4401">
        <w:rPr>
          <w:b/>
          <w:bCs/>
        </w:rPr>
        <w:t> :</w:t>
      </w:r>
      <w:r w:rsidRPr="00620090">
        <w:rPr>
          <w:b/>
          <w:bCs/>
        </w:rPr>
        <w:t xml:space="preserve"> durée écoulée entre le lancement et la mise en service validée d’une nouvelle intégration</w:t>
      </w:r>
      <w:r w:rsidR="000C4401">
        <w:rPr>
          <w:b/>
          <w:bCs/>
        </w:rPr>
        <w:t> ;</w:t>
      </w:r>
      <w:r w:rsidRPr="00620090">
        <w:rPr>
          <w:b/>
          <w:bCs/>
        </w:rPr>
        <w:t xml:space="preserve"> définir le début, la fin et les exclusions. </w:t>
      </w:r>
      <w:r w:rsidR="000C4401">
        <w:rPr>
          <w:b/>
          <w:bCs/>
        </w:rPr>
        <w:t>« </w:t>
      </w:r>
      <w:r w:rsidRPr="00620090">
        <w:rPr>
          <w:b/>
          <w:bCs/>
        </w:rPr>
        <w:t>MTTI</w:t>
      </w:r>
      <w:r w:rsidR="000C4401">
        <w:rPr>
          <w:b/>
          <w:bCs/>
        </w:rPr>
        <w:t> »</w:t>
      </w:r>
      <w:r w:rsidRPr="00620090">
        <w:rPr>
          <w:b/>
          <w:bCs/>
        </w:rPr>
        <w:t xml:space="preserve"> n’est pas un indicateur universellement normalisé.</w:t>
      </w:r>
    </w:p>
    <w:p w14:paraId="44B44D21" w14:textId="47E78AE3" w:rsidR="007C4926" w:rsidRDefault="00000000" w:rsidP="000C4401">
      <w:pPr>
        <w:spacing w:after="0"/>
      </w:pPr>
      <w:r>
        <w:t>Indicateurs recommandés pour un tableau de bord</w:t>
      </w:r>
      <w:r w:rsidR="000C4401">
        <w:t> :</w:t>
      </w:r>
      <w:r>
        <w:t xml:space="preserve"> associer à chaque mesure le périmètre, la formule, le responsable, la période, la source, l’objectif et la décision déclenchée en cas d’écart. Ne pas multiplier les indicateurs sans usage de pilotage.</w:t>
      </w:r>
    </w:p>
    <w:p w14:paraId="53FFD2EA" w14:textId="4A2B343E" w:rsidR="00620090" w:rsidRPr="00620090" w:rsidRDefault="00620090" w:rsidP="000C4401">
      <w:pPr>
        <w:numPr>
          <w:ilvl w:val="0"/>
          <w:numId w:val="8"/>
        </w:numPr>
        <w:spacing w:after="0"/>
      </w:pPr>
      <w:r w:rsidRPr="00620090">
        <w:rPr>
          <w:b/>
          <w:bCs/>
        </w:rPr>
        <w:t>Taux d’adoption des fonctionnalités (</w:t>
      </w:r>
      <w:proofErr w:type="spellStart"/>
      <w:r w:rsidRPr="00620090">
        <w:rPr>
          <w:b/>
          <w:bCs/>
        </w:rPr>
        <w:t>Feature</w:t>
      </w:r>
      <w:proofErr w:type="spellEnd"/>
      <w:r w:rsidRPr="00620090">
        <w:rPr>
          <w:b/>
          <w:bCs/>
        </w:rPr>
        <w:t xml:space="preserve"> Adoption Rate)</w:t>
      </w:r>
      <w:r w:rsidR="000C4401">
        <w:t> :</w:t>
      </w:r>
      <w:r w:rsidRPr="00620090">
        <w:t xml:space="preserve"> Pourcentage d’utilisateurs qui utilisent activement de nouvelles fonctionnalités ajoutées au SI, indiquant la pertinence des fonctionnalités proposées.</w:t>
      </w:r>
    </w:p>
    <w:p w14:paraId="184B3260" w14:textId="51718B47" w:rsidR="00620090" w:rsidRPr="00620090" w:rsidRDefault="00620090" w:rsidP="000C4401">
      <w:pPr>
        <w:numPr>
          <w:ilvl w:val="0"/>
          <w:numId w:val="8"/>
        </w:numPr>
        <w:spacing w:after="0"/>
      </w:pPr>
      <w:r w:rsidRPr="00620090">
        <w:rPr>
          <w:b/>
          <w:bCs/>
        </w:rPr>
        <w:t>Cybersécurité</w:t>
      </w:r>
      <w:r w:rsidR="000C4401">
        <w:rPr>
          <w:b/>
          <w:bCs/>
        </w:rPr>
        <w:t> :</w:t>
      </w:r>
      <w:r w:rsidRPr="00620090">
        <w:rPr>
          <w:b/>
          <w:bCs/>
        </w:rPr>
        <w:t xml:space="preserve"> il n’existe pas d’</w:t>
      </w:r>
      <w:r w:rsidR="000C4401">
        <w:rPr>
          <w:b/>
          <w:bCs/>
        </w:rPr>
        <w:t xml:space="preserve">» </w:t>
      </w:r>
      <w:r w:rsidRPr="00620090">
        <w:rPr>
          <w:b/>
          <w:bCs/>
        </w:rPr>
        <w:t>indice de cybersécurité</w:t>
      </w:r>
      <w:r w:rsidR="000C4401">
        <w:rPr>
          <w:b/>
          <w:bCs/>
        </w:rPr>
        <w:t> »</w:t>
      </w:r>
      <w:r w:rsidRPr="00620090">
        <w:rPr>
          <w:b/>
          <w:bCs/>
        </w:rPr>
        <w:t xml:space="preserve"> unique valable pour tout SI. Construire un petit jeu d’indicateurs reliés aux risques</w:t>
      </w:r>
      <w:r w:rsidR="000C4401">
        <w:rPr>
          <w:b/>
          <w:bCs/>
        </w:rPr>
        <w:t> :</w:t>
      </w:r>
      <w:r w:rsidRPr="00620090">
        <w:rPr>
          <w:b/>
          <w:bCs/>
        </w:rPr>
        <w:t xml:space="preserve"> délais de correction des vulnérabilités critiques, part des comptes protégés par MFA, taux de restauration testée, temps de traitement des incidents.</w:t>
      </w:r>
    </w:p>
    <w:p w14:paraId="17D85EC6" w14:textId="6B1A57D9" w:rsidR="00620090" w:rsidRPr="00620090" w:rsidRDefault="00620090" w:rsidP="000C4401">
      <w:pPr>
        <w:numPr>
          <w:ilvl w:val="0"/>
          <w:numId w:val="8"/>
        </w:numPr>
        <w:spacing w:after="0"/>
      </w:pPr>
      <w:r w:rsidRPr="00620090">
        <w:rPr>
          <w:b/>
          <w:bCs/>
        </w:rPr>
        <w:t xml:space="preserve">Taux de disponibilité des données (Data </w:t>
      </w:r>
      <w:proofErr w:type="spellStart"/>
      <w:r w:rsidRPr="00620090">
        <w:rPr>
          <w:b/>
          <w:bCs/>
        </w:rPr>
        <w:t>Availability</w:t>
      </w:r>
      <w:proofErr w:type="spellEnd"/>
      <w:r w:rsidRPr="00620090">
        <w:rPr>
          <w:b/>
          <w:bCs/>
        </w:rPr>
        <w:t xml:space="preserve"> Rate)</w:t>
      </w:r>
      <w:r w:rsidR="000C4401">
        <w:t> :</w:t>
      </w:r>
      <w:r w:rsidRPr="00620090">
        <w:t xml:space="preserve"> Pourcentage de temps pendant lequel les données critiques sont accessibles et utilisables, garantissant la continuité des opérations.</w:t>
      </w:r>
    </w:p>
    <w:p w14:paraId="62B899DC" w14:textId="2C256EB6" w:rsidR="00620090" w:rsidRPr="00620090" w:rsidRDefault="00620090" w:rsidP="000C4401">
      <w:pPr>
        <w:numPr>
          <w:ilvl w:val="0"/>
          <w:numId w:val="8"/>
        </w:numPr>
        <w:spacing w:after="0"/>
      </w:pPr>
      <w:r w:rsidRPr="00620090">
        <w:rPr>
          <w:b/>
          <w:bCs/>
        </w:rPr>
        <w:t>Fiabilité des sauvegardes</w:t>
      </w:r>
      <w:r w:rsidR="000C4401">
        <w:rPr>
          <w:b/>
          <w:bCs/>
        </w:rPr>
        <w:t> :</w:t>
      </w:r>
      <w:r w:rsidRPr="00620090">
        <w:rPr>
          <w:b/>
          <w:bCs/>
        </w:rPr>
        <w:t xml:space="preserve"> taux de sauvegardes abouties ET capacité de restaurer les données dans les délais requis. Compléter les taux de succès par des tests de restauration documentés, en isolant une copie hors ligne lorsque nécessaire.</w:t>
      </w:r>
    </w:p>
    <w:p w14:paraId="5EF37525" w14:textId="49EFB593" w:rsidR="00620090" w:rsidRPr="00620090" w:rsidRDefault="00620090" w:rsidP="000C4401">
      <w:pPr>
        <w:numPr>
          <w:ilvl w:val="0"/>
          <w:numId w:val="8"/>
        </w:numPr>
        <w:spacing w:after="0"/>
      </w:pPr>
      <w:r w:rsidRPr="00620090">
        <w:rPr>
          <w:b/>
          <w:bCs/>
        </w:rPr>
        <w:t>Respect des engagements de service (SLA/SLO)</w:t>
      </w:r>
      <w:r w:rsidR="000C4401">
        <w:rPr>
          <w:b/>
          <w:bCs/>
        </w:rPr>
        <w:t> :</w:t>
      </w:r>
      <w:r w:rsidRPr="00620090">
        <w:rPr>
          <w:b/>
          <w:bCs/>
        </w:rPr>
        <w:t xml:space="preserve"> part des périodes ou des mesures conformes aux cibles définies dans les accords</w:t>
      </w:r>
      <w:r w:rsidR="000C4401">
        <w:rPr>
          <w:b/>
          <w:bCs/>
        </w:rPr>
        <w:t> ;</w:t>
      </w:r>
      <w:r w:rsidRPr="00620090">
        <w:rPr>
          <w:b/>
          <w:bCs/>
        </w:rPr>
        <w:t xml:space="preserve"> présenter aussi les dépassements critiques et les éventuelles pénalités contractuelles.</w:t>
      </w:r>
    </w:p>
    <w:p w14:paraId="3CE1FFAE" w14:textId="77777777" w:rsidR="00620090" w:rsidRPr="00620090" w:rsidRDefault="00620090" w:rsidP="000C4401">
      <w:pPr>
        <w:pStyle w:val="Titre1"/>
        <w:spacing w:before="0" w:after="0"/>
      </w:pPr>
      <w:r>
        <w:lastRenderedPageBreak/>
        <w:t>I</w:t>
      </w:r>
      <w:r w:rsidRPr="00620090">
        <w:t xml:space="preserve">ndicateurs de qualité pour un système d’information </w:t>
      </w:r>
    </w:p>
    <w:p w14:paraId="451A9DFD" w14:textId="34403EBB" w:rsidR="00620090" w:rsidRPr="00620090" w:rsidRDefault="00620090" w:rsidP="000C4401">
      <w:pPr>
        <w:numPr>
          <w:ilvl w:val="0"/>
          <w:numId w:val="9"/>
        </w:numPr>
        <w:spacing w:after="0"/>
      </w:pPr>
      <w:r w:rsidRPr="00620090">
        <w:rPr>
          <w:b/>
          <w:bCs/>
        </w:rPr>
        <w:t>Fiabilité (</w:t>
      </w:r>
      <w:proofErr w:type="spellStart"/>
      <w:r w:rsidRPr="00620090">
        <w:rPr>
          <w:b/>
          <w:bCs/>
        </w:rPr>
        <w:t>Reliability</w:t>
      </w:r>
      <w:proofErr w:type="spellEnd"/>
      <w:r w:rsidRPr="00620090">
        <w:rPr>
          <w:b/>
          <w:bCs/>
        </w:rPr>
        <w:t>)</w:t>
      </w:r>
      <w:r w:rsidR="000C4401">
        <w:t> :</w:t>
      </w:r>
      <w:r w:rsidRPr="00620090">
        <w:t xml:space="preserve"> Capacité du SI à fonctionner sans défaillances pendant une période donnée. Une haute fiabilité indique une faible probabilité de pannes.</w:t>
      </w:r>
    </w:p>
    <w:p w14:paraId="292BBC57" w14:textId="40C7296E" w:rsidR="00620090" w:rsidRPr="00620090" w:rsidRDefault="00620090" w:rsidP="000C4401">
      <w:pPr>
        <w:numPr>
          <w:ilvl w:val="0"/>
          <w:numId w:val="9"/>
        </w:numPr>
        <w:spacing w:after="0"/>
      </w:pPr>
      <w:r w:rsidRPr="00620090">
        <w:rPr>
          <w:b/>
          <w:bCs/>
        </w:rPr>
        <w:t>Intégrité des données</w:t>
      </w:r>
      <w:r w:rsidR="000C4401">
        <w:rPr>
          <w:b/>
          <w:bCs/>
        </w:rPr>
        <w:t> :</w:t>
      </w:r>
      <w:r w:rsidRPr="00620090">
        <w:rPr>
          <w:b/>
          <w:bCs/>
        </w:rPr>
        <w:t xml:space="preserve"> préservation contre les modifications non autorisées ou accidentelles, appréciée par des contrôles de validation et des traces fiables. L’exactitude, la complétude et la fraîcheur constituent des dimensions distinctes de qualité des données.</w:t>
      </w:r>
    </w:p>
    <w:p w14:paraId="0DE52FBF" w14:textId="4A4F7094" w:rsidR="00620090" w:rsidRPr="00620090" w:rsidRDefault="00620090" w:rsidP="000C4401">
      <w:pPr>
        <w:numPr>
          <w:ilvl w:val="0"/>
          <w:numId w:val="9"/>
        </w:numPr>
        <w:spacing w:after="0"/>
      </w:pPr>
      <w:r w:rsidRPr="00620090">
        <w:rPr>
          <w:b/>
          <w:bCs/>
        </w:rPr>
        <w:t>Sécurité des données (Data Security)</w:t>
      </w:r>
      <w:r w:rsidR="000C4401">
        <w:t> :</w:t>
      </w:r>
      <w:r w:rsidRPr="00620090">
        <w:t xml:space="preserve"> Capacité du SI à protéger les données contre les accès non autorisés et les cyberattaques. Cela inclut la confidentialité, l’authentification et l’autorisation.</w:t>
      </w:r>
    </w:p>
    <w:p w14:paraId="2C657992" w14:textId="37BD0991" w:rsidR="00620090" w:rsidRPr="00620090" w:rsidRDefault="00620090" w:rsidP="000C4401">
      <w:pPr>
        <w:numPr>
          <w:ilvl w:val="0"/>
          <w:numId w:val="9"/>
        </w:numPr>
        <w:spacing w:after="0"/>
      </w:pPr>
      <w:r w:rsidRPr="00620090">
        <w:rPr>
          <w:b/>
          <w:bCs/>
        </w:rPr>
        <w:t>Accessibilité (</w:t>
      </w:r>
      <w:proofErr w:type="spellStart"/>
      <w:r w:rsidRPr="00620090">
        <w:rPr>
          <w:b/>
          <w:bCs/>
        </w:rPr>
        <w:t>Accessibility</w:t>
      </w:r>
      <w:proofErr w:type="spellEnd"/>
      <w:r w:rsidRPr="00620090">
        <w:rPr>
          <w:b/>
          <w:bCs/>
        </w:rPr>
        <w:t>)</w:t>
      </w:r>
      <w:r w:rsidR="000C4401">
        <w:t> :</w:t>
      </w:r>
      <w:r w:rsidRPr="00620090">
        <w:t xml:space="preserve"> Mesure de la facilité avec laquelle les utilisateurs peuvent accéder au SI, y compris pour les personnes ayant des besoins spécifiques. Un SI accessible est inclusif pour tous les utilisateurs.</w:t>
      </w:r>
    </w:p>
    <w:p w14:paraId="4BF59EF2" w14:textId="2382A593" w:rsidR="00620090" w:rsidRPr="00620090" w:rsidRDefault="00620090" w:rsidP="000C4401">
      <w:pPr>
        <w:numPr>
          <w:ilvl w:val="0"/>
          <w:numId w:val="9"/>
        </w:numPr>
        <w:spacing w:after="0"/>
      </w:pPr>
      <w:r w:rsidRPr="00620090">
        <w:rPr>
          <w:b/>
          <w:bCs/>
        </w:rPr>
        <w:t>Facilité d'utilisation (</w:t>
      </w:r>
      <w:proofErr w:type="spellStart"/>
      <w:r w:rsidRPr="00620090">
        <w:rPr>
          <w:b/>
          <w:bCs/>
        </w:rPr>
        <w:t>Usability</w:t>
      </w:r>
      <w:proofErr w:type="spellEnd"/>
      <w:r w:rsidRPr="00620090">
        <w:rPr>
          <w:b/>
          <w:bCs/>
        </w:rPr>
        <w:t>)</w:t>
      </w:r>
      <w:r w:rsidR="000C4401">
        <w:t> :</w:t>
      </w:r>
      <w:r w:rsidRPr="00620090">
        <w:t xml:space="preserve"> Évaluation de l’expérience utilisateur lors de l’utilisation du SI, mesurant la facilité avec laquelle les utilisateurs peuvent naviguer et accomplir des tâches dans le système.</w:t>
      </w:r>
    </w:p>
    <w:p w14:paraId="28DF79A4" w14:textId="117E8960" w:rsidR="00620090" w:rsidRPr="00620090" w:rsidRDefault="00620090" w:rsidP="000C4401">
      <w:pPr>
        <w:numPr>
          <w:ilvl w:val="0"/>
          <w:numId w:val="9"/>
        </w:numPr>
        <w:spacing w:after="0"/>
      </w:pPr>
      <w:r w:rsidRPr="00620090">
        <w:rPr>
          <w:b/>
          <w:bCs/>
        </w:rPr>
        <w:t>Exactitude des informations</w:t>
      </w:r>
      <w:r w:rsidR="000C4401">
        <w:rPr>
          <w:b/>
          <w:bCs/>
        </w:rPr>
        <w:t> :</w:t>
      </w:r>
      <w:r w:rsidRPr="00620090">
        <w:rPr>
          <w:b/>
          <w:bCs/>
        </w:rPr>
        <w:t xml:space="preserve"> évaluer par des contrôles échantillonnés ou exhaustifs la proportion de données exactes</w:t>
      </w:r>
      <w:r w:rsidR="000C4401">
        <w:rPr>
          <w:b/>
          <w:bCs/>
        </w:rPr>
        <w:t> ;</w:t>
      </w:r>
      <w:r w:rsidRPr="00620090">
        <w:rPr>
          <w:b/>
          <w:bCs/>
        </w:rPr>
        <w:t xml:space="preserve"> la qualité du reporting dépend aussi de la complétude, de l’actualité, de la compréhension et des règles de calcul.</w:t>
      </w:r>
    </w:p>
    <w:p w14:paraId="204A463F" w14:textId="58E48FA8" w:rsidR="00620090" w:rsidRPr="00620090" w:rsidRDefault="00620090" w:rsidP="000C4401">
      <w:pPr>
        <w:numPr>
          <w:ilvl w:val="0"/>
          <w:numId w:val="9"/>
        </w:numPr>
        <w:spacing w:after="0"/>
      </w:pPr>
      <w:r w:rsidRPr="00620090">
        <w:rPr>
          <w:b/>
          <w:bCs/>
        </w:rPr>
        <w:t>Flexibilité (</w:t>
      </w:r>
      <w:proofErr w:type="spellStart"/>
      <w:r w:rsidRPr="00620090">
        <w:rPr>
          <w:b/>
          <w:bCs/>
        </w:rPr>
        <w:t>Flexibility</w:t>
      </w:r>
      <w:proofErr w:type="spellEnd"/>
      <w:r w:rsidRPr="00620090">
        <w:rPr>
          <w:b/>
          <w:bCs/>
        </w:rPr>
        <w:t>)</w:t>
      </w:r>
      <w:r w:rsidR="000C4401">
        <w:t> :</w:t>
      </w:r>
      <w:r w:rsidRPr="00620090">
        <w:t xml:space="preserve"> Capacité du SI à s’adapter aux changements de besoins, notamment par l'ajout de nouvelles fonctionnalités ou par des ajustements aux processus métiers.</w:t>
      </w:r>
    </w:p>
    <w:p w14:paraId="5C75A52B" w14:textId="5A5F09DA" w:rsidR="00620090" w:rsidRPr="00620090" w:rsidRDefault="00620090" w:rsidP="000C4401">
      <w:pPr>
        <w:numPr>
          <w:ilvl w:val="0"/>
          <w:numId w:val="9"/>
        </w:numPr>
        <w:spacing w:after="0"/>
      </w:pPr>
      <w:r w:rsidRPr="00620090">
        <w:rPr>
          <w:b/>
          <w:bCs/>
        </w:rPr>
        <w:t xml:space="preserve">Efficacité des processus (Process </w:t>
      </w:r>
      <w:proofErr w:type="spellStart"/>
      <w:r w:rsidRPr="00620090">
        <w:rPr>
          <w:b/>
          <w:bCs/>
        </w:rPr>
        <w:t>Efficiency</w:t>
      </w:r>
      <w:proofErr w:type="spellEnd"/>
      <w:r w:rsidRPr="00620090">
        <w:rPr>
          <w:b/>
          <w:bCs/>
        </w:rPr>
        <w:t>)</w:t>
      </w:r>
      <w:r w:rsidR="000C4401">
        <w:t> :</w:t>
      </w:r>
      <w:r w:rsidRPr="00620090">
        <w:t xml:space="preserve"> Mesure de l’efficacité avec laquelle les processus sont gérés par le SI, en minimisant les gaspillages et les ressources nécessaires pour réaliser une opération.</w:t>
      </w:r>
    </w:p>
    <w:p w14:paraId="284E4AFF" w14:textId="1108D369" w:rsidR="00620090" w:rsidRPr="00620090" w:rsidRDefault="00620090" w:rsidP="000C4401">
      <w:pPr>
        <w:numPr>
          <w:ilvl w:val="0"/>
          <w:numId w:val="9"/>
        </w:numPr>
        <w:spacing w:after="0"/>
      </w:pPr>
      <w:r w:rsidRPr="00620090">
        <w:rPr>
          <w:b/>
          <w:bCs/>
        </w:rPr>
        <w:t>Interopérabilité (</w:t>
      </w:r>
      <w:proofErr w:type="spellStart"/>
      <w:r w:rsidRPr="00620090">
        <w:rPr>
          <w:b/>
          <w:bCs/>
        </w:rPr>
        <w:t>Interoperability</w:t>
      </w:r>
      <w:proofErr w:type="spellEnd"/>
      <w:r w:rsidRPr="00620090">
        <w:rPr>
          <w:b/>
          <w:bCs/>
        </w:rPr>
        <w:t>)</w:t>
      </w:r>
      <w:r w:rsidR="000C4401">
        <w:t> :</w:t>
      </w:r>
      <w:r w:rsidRPr="00620090">
        <w:t xml:space="preserve"> Capacité du SI à fonctionner avec d’autres systèmes ou applications sans nécessiter de modifications majeures, favorisant la collaboration et l’intégration entre systèmes.</w:t>
      </w:r>
    </w:p>
    <w:p w14:paraId="5E9FF373" w14:textId="7FB88BA2" w:rsidR="00620090" w:rsidRPr="00620090" w:rsidRDefault="00620090" w:rsidP="000C4401">
      <w:pPr>
        <w:numPr>
          <w:ilvl w:val="0"/>
          <w:numId w:val="9"/>
        </w:numPr>
        <w:spacing w:after="0"/>
      </w:pPr>
      <w:r w:rsidRPr="00620090">
        <w:rPr>
          <w:b/>
          <w:bCs/>
        </w:rPr>
        <w:t>Traçabilité (</w:t>
      </w:r>
      <w:proofErr w:type="spellStart"/>
      <w:r w:rsidRPr="00620090">
        <w:rPr>
          <w:b/>
          <w:bCs/>
        </w:rPr>
        <w:t>Traceability</w:t>
      </w:r>
      <w:proofErr w:type="spellEnd"/>
      <w:r w:rsidRPr="00620090">
        <w:rPr>
          <w:b/>
          <w:bCs/>
        </w:rPr>
        <w:t>)</w:t>
      </w:r>
      <w:r w:rsidR="000C4401">
        <w:t> :</w:t>
      </w:r>
      <w:r w:rsidRPr="00620090">
        <w:t xml:space="preserve"> Capacité du SI à enregistrer et suivre les activités ou modifications apportées aux données, assurant un suivi transparent et complet.</w:t>
      </w:r>
    </w:p>
    <w:p w14:paraId="394B6250" w14:textId="3CEF8A17" w:rsidR="00620090" w:rsidRPr="00620090" w:rsidRDefault="00620090" w:rsidP="000C4401">
      <w:pPr>
        <w:numPr>
          <w:ilvl w:val="0"/>
          <w:numId w:val="9"/>
        </w:numPr>
        <w:spacing w:after="0"/>
      </w:pPr>
      <w:r w:rsidRPr="00620090">
        <w:rPr>
          <w:b/>
          <w:bCs/>
        </w:rPr>
        <w:t>Conformité aux exigences</w:t>
      </w:r>
      <w:r w:rsidR="000C4401">
        <w:rPr>
          <w:b/>
          <w:bCs/>
        </w:rPr>
        <w:t> :</w:t>
      </w:r>
      <w:r w:rsidRPr="00620090">
        <w:rPr>
          <w:b/>
          <w:bCs/>
        </w:rPr>
        <w:t xml:space="preserve"> évaluer séparément les obligations légales, engagements contractuels, politiques internes et référentiels volontaires. Ne pas amalgamer une certification ISO avec la conformité réglementaire de tous les traitements.</w:t>
      </w:r>
    </w:p>
    <w:p w14:paraId="1C07613E" w14:textId="01CD2AE2" w:rsidR="00620090" w:rsidRPr="00620090" w:rsidRDefault="00620090" w:rsidP="000C4401">
      <w:pPr>
        <w:numPr>
          <w:ilvl w:val="0"/>
          <w:numId w:val="9"/>
        </w:numPr>
        <w:spacing w:after="0"/>
      </w:pPr>
      <w:r w:rsidRPr="00620090">
        <w:rPr>
          <w:b/>
          <w:bCs/>
        </w:rPr>
        <w:t>Temps de formation des utilisateurs (User Training Time)</w:t>
      </w:r>
      <w:r w:rsidR="000C4401">
        <w:t> :</w:t>
      </w:r>
      <w:r w:rsidRPr="00620090">
        <w:t xml:space="preserve"> Temps moyen nécessaire pour former les utilisateurs à l'utilisation du SI, mesurant la simplicité du système. Un temps de formation court est un bon indicateur de qualité.</w:t>
      </w:r>
    </w:p>
    <w:p w14:paraId="622A5A9E" w14:textId="1DB13AAC" w:rsidR="00620090" w:rsidRPr="00620090" w:rsidRDefault="00620090" w:rsidP="000C4401">
      <w:pPr>
        <w:numPr>
          <w:ilvl w:val="0"/>
          <w:numId w:val="9"/>
        </w:numPr>
        <w:spacing w:after="0"/>
      </w:pPr>
      <w:r w:rsidRPr="00620090">
        <w:rPr>
          <w:b/>
          <w:bCs/>
        </w:rPr>
        <w:t xml:space="preserve">Consistance des données (Data </w:t>
      </w:r>
      <w:proofErr w:type="spellStart"/>
      <w:r w:rsidRPr="00620090">
        <w:rPr>
          <w:b/>
          <w:bCs/>
        </w:rPr>
        <w:t>Consistency</w:t>
      </w:r>
      <w:proofErr w:type="spellEnd"/>
      <w:r w:rsidRPr="00620090">
        <w:rPr>
          <w:b/>
          <w:bCs/>
        </w:rPr>
        <w:t>)</w:t>
      </w:r>
      <w:r w:rsidR="000C4401">
        <w:t> :</w:t>
      </w:r>
      <w:r w:rsidRPr="00620090">
        <w:t xml:space="preserve"> Assurance que les données sont uniformes et synchronisées dans l’ensemble du SI, évitant les duplications et les erreurs dans les processus.</w:t>
      </w:r>
    </w:p>
    <w:p w14:paraId="0DE34A1A" w14:textId="20C5F83E" w:rsidR="00620090" w:rsidRPr="00620090" w:rsidRDefault="00620090" w:rsidP="000C4401">
      <w:pPr>
        <w:numPr>
          <w:ilvl w:val="0"/>
          <w:numId w:val="9"/>
        </w:numPr>
        <w:spacing w:after="0"/>
      </w:pPr>
      <w:r w:rsidRPr="00620090">
        <w:rPr>
          <w:b/>
          <w:bCs/>
        </w:rPr>
        <w:t>Performance de la récupération</w:t>
      </w:r>
      <w:r w:rsidR="000C4401">
        <w:rPr>
          <w:b/>
          <w:bCs/>
        </w:rPr>
        <w:t> :</w:t>
      </w:r>
      <w:r w:rsidRPr="00620090">
        <w:rPr>
          <w:b/>
          <w:bCs/>
        </w:rPr>
        <w:t xml:space="preserve"> délai observé de restauration et perte de données effective, comparés aux objectifs RTO et RPO définis. Seules des restaurations éprouvées permettent d’évaluer réellement cette capacité.</w:t>
      </w:r>
    </w:p>
    <w:p w14:paraId="639E6DBB" w14:textId="23007BC2" w:rsidR="00620090" w:rsidRPr="00620090" w:rsidRDefault="00620090" w:rsidP="000C4401">
      <w:pPr>
        <w:numPr>
          <w:ilvl w:val="0"/>
          <w:numId w:val="9"/>
        </w:numPr>
        <w:spacing w:after="0"/>
      </w:pPr>
      <w:r w:rsidRPr="00620090">
        <w:rPr>
          <w:b/>
          <w:bCs/>
        </w:rPr>
        <w:t xml:space="preserve">Support et assistance (Support and Assistance </w:t>
      </w:r>
      <w:proofErr w:type="spellStart"/>
      <w:r w:rsidRPr="00620090">
        <w:rPr>
          <w:b/>
          <w:bCs/>
        </w:rPr>
        <w:t>Quality</w:t>
      </w:r>
      <w:proofErr w:type="spellEnd"/>
      <w:r w:rsidRPr="00620090">
        <w:rPr>
          <w:b/>
          <w:bCs/>
        </w:rPr>
        <w:t>)</w:t>
      </w:r>
      <w:r w:rsidR="000C4401">
        <w:t> :</w:t>
      </w:r>
      <w:r w:rsidRPr="00620090">
        <w:t xml:space="preserve"> Évaluation de la qualité et de la réactivité du support offert aux utilisateurs, indiquant la fiabilité et l’accessibilité des équipes de support.</w:t>
      </w:r>
    </w:p>
    <w:sectPr w:rsidR="00620090" w:rsidRPr="00620090" w:rsidSect="000C4401">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8F6B" w14:textId="77777777" w:rsidR="00277A66" w:rsidRDefault="00277A66" w:rsidP="004C7BF0">
      <w:r>
        <w:separator/>
      </w:r>
    </w:p>
  </w:endnote>
  <w:endnote w:type="continuationSeparator" w:id="0">
    <w:p w14:paraId="610A1231" w14:textId="77777777" w:rsidR="00277A66" w:rsidRDefault="00277A66" w:rsidP="004C7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888D" w14:textId="77777777" w:rsidR="00580F46" w:rsidRPr="00580F46" w:rsidRDefault="00580F46" w:rsidP="00620090">
    <w:pPr>
      <w:pStyle w:val="Pieddepage"/>
      <w:tabs>
        <w:tab w:val="clear" w:pos="9072"/>
        <w:tab w:val="right" w:pos="1020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31B5" w14:textId="77777777" w:rsidR="00277A66" w:rsidRDefault="00277A66" w:rsidP="004C7BF0">
      <w:r>
        <w:separator/>
      </w:r>
    </w:p>
  </w:footnote>
  <w:footnote w:type="continuationSeparator" w:id="0">
    <w:p w14:paraId="36012CD8" w14:textId="77777777" w:rsidR="00277A66" w:rsidRDefault="00277A66" w:rsidP="004C7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722"/>
    <w:multiLevelType w:val="multilevel"/>
    <w:tmpl w:val="63A8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E6DA4"/>
    <w:multiLevelType w:val="multilevel"/>
    <w:tmpl w:val="ECA0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5D1C5A"/>
    <w:multiLevelType w:val="multilevel"/>
    <w:tmpl w:val="DBC6E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A57B01"/>
    <w:multiLevelType w:val="multilevel"/>
    <w:tmpl w:val="72F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0C0E48"/>
    <w:multiLevelType w:val="multilevel"/>
    <w:tmpl w:val="0CC6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A4FC5"/>
    <w:multiLevelType w:val="multilevel"/>
    <w:tmpl w:val="F358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351714"/>
    <w:multiLevelType w:val="multilevel"/>
    <w:tmpl w:val="217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49730E"/>
    <w:multiLevelType w:val="multilevel"/>
    <w:tmpl w:val="40709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BA67B5"/>
    <w:multiLevelType w:val="multilevel"/>
    <w:tmpl w:val="9514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057142">
    <w:abstractNumId w:val="6"/>
  </w:num>
  <w:num w:numId="2" w16cid:durableId="1969772821">
    <w:abstractNumId w:val="1"/>
  </w:num>
  <w:num w:numId="3" w16cid:durableId="993755049">
    <w:abstractNumId w:val="4"/>
  </w:num>
  <w:num w:numId="4" w16cid:durableId="88350905">
    <w:abstractNumId w:val="8"/>
  </w:num>
  <w:num w:numId="5" w16cid:durableId="1259873310">
    <w:abstractNumId w:val="0"/>
  </w:num>
  <w:num w:numId="6" w16cid:durableId="940913695">
    <w:abstractNumId w:val="3"/>
  </w:num>
  <w:num w:numId="7" w16cid:durableId="816412162">
    <w:abstractNumId w:val="5"/>
  </w:num>
  <w:num w:numId="8" w16cid:durableId="164636122">
    <w:abstractNumId w:val="7"/>
  </w:num>
  <w:num w:numId="9" w16cid:durableId="139122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C4401"/>
    <w:rsid w:val="00125C9C"/>
    <w:rsid w:val="00135CDD"/>
    <w:rsid w:val="001D0EEB"/>
    <w:rsid w:val="00277A66"/>
    <w:rsid w:val="00316764"/>
    <w:rsid w:val="003276BD"/>
    <w:rsid w:val="00346F55"/>
    <w:rsid w:val="004A6242"/>
    <w:rsid w:val="004C7BF0"/>
    <w:rsid w:val="004D247E"/>
    <w:rsid w:val="005172DB"/>
    <w:rsid w:val="00580F46"/>
    <w:rsid w:val="00620090"/>
    <w:rsid w:val="006460AB"/>
    <w:rsid w:val="00677D09"/>
    <w:rsid w:val="00713AC4"/>
    <w:rsid w:val="007C4926"/>
    <w:rsid w:val="00830A03"/>
    <w:rsid w:val="00964131"/>
    <w:rsid w:val="00B649B3"/>
    <w:rsid w:val="00CA4633"/>
    <w:rsid w:val="00F47F65"/>
    <w:rsid w:val="00F713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A2D24"/>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BF0"/>
    <w:pPr>
      <w:spacing w:after="40" w:line="240" w:lineRule="auto"/>
      <w:jc w:val="both"/>
    </w:pPr>
    <w:rPr>
      <w:rFonts w:ascii="Calibri" w:eastAsia="Times New Roman" w:hAnsi="Calibri" w:cs="Calibri"/>
      <w:kern w:val="0"/>
      <w:sz w:val="24"/>
      <w:szCs w:val="24"/>
      <w:lang w:eastAsia="fr-FR"/>
      <w14:ligatures w14:val="none"/>
    </w:rPr>
  </w:style>
  <w:style w:type="paragraph" w:styleId="Titre1">
    <w:name w:val="heading 1"/>
    <w:basedOn w:val="Normal"/>
    <w:next w:val="Normal"/>
    <w:link w:val="Titre1Car"/>
    <w:uiPriority w:val="9"/>
    <w:qFormat/>
    <w:rsid w:val="004C7BF0"/>
    <w:pPr>
      <w:keepNext/>
      <w:keepLines/>
      <w:spacing w:before="120"/>
      <w:outlineLvl w:val="0"/>
    </w:pPr>
    <w:rPr>
      <w:rFonts w:asciiTheme="majorHAnsi"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247E"/>
    <w:pPr>
      <w:keepNext/>
      <w:keepLines/>
      <w:spacing w:before="8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247E"/>
    <w:pPr>
      <w:keepNext/>
      <w:keepLines/>
      <w:spacing w:before="8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7BF0"/>
    <w:rPr>
      <w:rFonts w:asciiTheme="majorHAnsi" w:eastAsia="Times New Roman" w:hAnsiTheme="majorHAnsi" w:cstheme="majorBidi"/>
      <w:color w:val="0F4761" w:themeColor="accent1" w:themeShade="BF"/>
      <w:sz w:val="40"/>
      <w:szCs w:val="40"/>
      <w:lang w:eastAsia="fr-FR"/>
    </w:rPr>
  </w:style>
  <w:style w:type="character" w:customStyle="1" w:styleId="Titre2Car">
    <w:name w:val="Titre 2 Car"/>
    <w:basedOn w:val="Policepardfaut"/>
    <w:link w:val="Titre2"/>
    <w:uiPriority w:val="9"/>
    <w:semiHidden/>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pPr>
  </w:style>
  <w:style w:type="character" w:customStyle="1" w:styleId="PieddepageCar">
    <w:name w:val="Pied de page Car"/>
    <w:basedOn w:val="Policepardfaut"/>
    <w:link w:val="Pieddepage"/>
    <w:uiPriority w:val="99"/>
    <w:rsid w:val="00580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1175">
      <w:bodyDiv w:val="1"/>
      <w:marLeft w:val="0"/>
      <w:marRight w:val="0"/>
      <w:marTop w:val="0"/>
      <w:marBottom w:val="0"/>
      <w:divBdr>
        <w:top w:val="none" w:sz="0" w:space="0" w:color="auto"/>
        <w:left w:val="none" w:sz="0" w:space="0" w:color="auto"/>
        <w:bottom w:val="none" w:sz="0" w:space="0" w:color="auto"/>
        <w:right w:val="none" w:sz="0" w:space="0" w:color="auto"/>
      </w:divBdr>
    </w:div>
    <w:div w:id="194540058">
      <w:bodyDiv w:val="1"/>
      <w:marLeft w:val="0"/>
      <w:marRight w:val="0"/>
      <w:marTop w:val="0"/>
      <w:marBottom w:val="0"/>
      <w:divBdr>
        <w:top w:val="none" w:sz="0" w:space="0" w:color="auto"/>
        <w:left w:val="none" w:sz="0" w:space="0" w:color="auto"/>
        <w:bottom w:val="none" w:sz="0" w:space="0" w:color="auto"/>
        <w:right w:val="none" w:sz="0" w:space="0" w:color="auto"/>
      </w:divBdr>
    </w:div>
    <w:div w:id="211965325">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1161964472">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478648770">
      <w:bodyDiv w:val="1"/>
      <w:marLeft w:val="0"/>
      <w:marRight w:val="0"/>
      <w:marTop w:val="0"/>
      <w:marBottom w:val="0"/>
      <w:divBdr>
        <w:top w:val="none" w:sz="0" w:space="0" w:color="auto"/>
        <w:left w:val="none" w:sz="0" w:space="0" w:color="auto"/>
        <w:bottom w:val="none" w:sz="0" w:space="0" w:color="auto"/>
        <w:right w:val="none" w:sz="0" w:space="0" w:color="auto"/>
      </w:divBdr>
    </w:div>
    <w:div w:id="1520385558">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647320220">
      <w:bodyDiv w:val="1"/>
      <w:marLeft w:val="0"/>
      <w:marRight w:val="0"/>
      <w:marTop w:val="0"/>
      <w:marBottom w:val="0"/>
      <w:divBdr>
        <w:top w:val="none" w:sz="0" w:space="0" w:color="auto"/>
        <w:left w:val="none" w:sz="0" w:space="0" w:color="auto"/>
        <w:bottom w:val="none" w:sz="0" w:space="0" w:color="auto"/>
        <w:right w:val="none" w:sz="0" w:space="0" w:color="auto"/>
      </w:divBdr>
    </w:div>
    <w:div w:id="208309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1092</Words>
  <Characters>6010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2024-10-21T05:24:00Z</cp:lastPrinted>
  <dcterms:created xsi:type="dcterms:W3CDTF">2024-11-09T14:45:00Z</dcterms:created>
  <dcterms:modified xsi:type="dcterms:W3CDTF">2026-10-19T06:25:00Z</dcterms:modified>
</cp:coreProperties>
</file>