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ABC8" w14:textId="77777777" w:rsidR="00910CBF" w:rsidRPr="00910CBF" w:rsidRDefault="00910CBF" w:rsidP="00910CBF">
      <w:pPr>
        <w:pStyle w:val="Titre1"/>
      </w:pPr>
      <w:r w:rsidRPr="00910CBF">
        <w:t>Sécurité juridique – Synthèse 2025 : cadre européen, conformité et risques</w:t>
      </w:r>
    </w:p>
    <w:p w14:paraId="102DCE04" w14:textId="77777777" w:rsidR="00910CBF" w:rsidRPr="00910CBF" w:rsidRDefault="00910CBF" w:rsidP="00910CBF">
      <w:pPr>
        <w:ind w:left="360"/>
        <w:rPr>
          <w:b/>
          <w:bCs/>
        </w:rPr>
      </w:pPr>
      <w:r w:rsidRPr="00910CBF">
        <w:rPr>
          <w:b/>
          <w:bCs/>
        </w:rPr>
        <w:t>1) Grands textes 2025 : ce qui change concrètement</w:t>
      </w:r>
    </w:p>
    <w:p w14:paraId="48452361" w14:textId="75C99AAE" w:rsidR="00910CBF" w:rsidRPr="00910CBF" w:rsidRDefault="00910CBF" w:rsidP="00910CBF">
      <w:pPr>
        <w:numPr>
          <w:ilvl w:val="0"/>
          <w:numId w:val="19"/>
        </w:numPr>
      </w:pPr>
      <w:r w:rsidRPr="00910CBF">
        <w:rPr>
          <w:b/>
          <w:bCs/>
        </w:rPr>
        <w:t>Data Act (UE)</w:t>
      </w:r>
      <w:r w:rsidRPr="00910CBF">
        <w:t xml:space="preserve"> – </w:t>
      </w:r>
      <w:r w:rsidRPr="00910CBF">
        <w:rPr>
          <w:b/>
          <w:bCs/>
        </w:rPr>
        <w:t>Entrée en vigueur : 12 septembre 2025.</w:t>
      </w:r>
      <w:r>
        <w:rPr>
          <w:b/>
          <w:bCs/>
        </w:rPr>
        <w:t xml:space="preserve"> </w:t>
      </w:r>
      <w:r w:rsidRPr="00910CBF">
        <w:t xml:space="preserve">Portabilité et </w:t>
      </w:r>
      <w:r w:rsidRPr="00910CBF">
        <w:rPr>
          <w:b/>
          <w:bCs/>
        </w:rPr>
        <w:t>interopérabilité</w:t>
      </w:r>
      <w:r w:rsidRPr="00910CBF">
        <w:t xml:space="preserve"> entre fournisseurs de cloud, </w:t>
      </w:r>
      <w:r w:rsidRPr="00910CBF">
        <w:rPr>
          <w:b/>
          <w:bCs/>
        </w:rPr>
        <w:t>suppression progressive des frais de sortie</w:t>
      </w:r>
      <w:r w:rsidRPr="00910CBF">
        <w:t xml:space="preserve"> (échéancier jusqu’en 2027), droits d’accès et de partage des </w:t>
      </w:r>
      <w:r w:rsidRPr="00910CBF">
        <w:rPr>
          <w:b/>
          <w:bCs/>
        </w:rPr>
        <w:t>données d’objets IoT</w:t>
      </w:r>
      <w:r w:rsidRPr="00910CBF">
        <w:t xml:space="preserve"> (B2B/B2C) et </w:t>
      </w:r>
      <w:r w:rsidRPr="00910CBF">
        <w:rPr>
          <w:b/>
          <w:bCs/>
        </w:rPr>
        <w:t>accès public encadré</w:t>
      </w:r>
      <w:r w:rsidRPr="00910CBF">
        <w:t xml:space="preserve"> en cas de crise. Impacts directs sur les </w:t>
      </w:r>
      <w:r w:rsidRPr="00910CBF">
        <w:rPr>
          <w:b/>
          <w:bCs/>
        </w:rPr>
        <w:t>contrats cloud</w:t>
      </w:r>
      <w:r w:rsidRPr="00910CBF">
        <w:t>, la réversibilité et la gouvernance des données.</w:t>
      </w:r>
    </w:p>
    <w:p w14:paraId="1F6B155C" w14:textId="77777777" w:rsidR="00910CBF" w:rsidRPr="00910CBF" w:rsidRDefault="00910CBF" w:rsidP="00910CBF">
      <w:pPr>
        <w:numPr>
          <w:ilvl w:val="0"/>
          <w:numId w:val="19"/>
        </w:numPr>
      </w:pPr>
      <w:r w:rsidRPr="00910CBF">
        <w:rPr>
          <w:b/>
          <w:bCs/>
        </w:rPr>
        <w:t>AI Act (UE)</w:t>
      </w:r>
      <w:r w:rsidRPr="00910CBF">
        <w:t xml:space="preserve"> – Calendrier d’application 2024–2027, avec montée en charge en 2025 sur la </w:t>
      </w:r>
      <w:r w:rsidRPr="00910CBF">
        <w:rPr>
          <w:b/>
          <w:bCs/>
        </w:rPr>
        <w:t>classification par niveaux de risque</w:t>
      </w:r>
      <w:r w:rsidRPr="00910CBF">
        <w:t xml:space="preserve">, </w:t>
      </w:r>
      <w:r w:rsidRPr="00910CBF">
        <w:rPr>
          <w:b/>
          <w:bCs/>
        </w:rPr>
        <w:t>supervision humaine</w:t>
      </w:r>
      <w:r w:rsidRPr="00910CBF">
        <w:t xml:space="preserve">, </w:t>
      </w:r>
      <w:r w:rsidRPr="00910CBF">
        <w:rPr>
          <w:b/>
          <w:bCs/>
        </w:rPr>
        <w:t>tests, documentation et transparence</w:t>
      </w:r>
      <w:r w:rsidRPr="00910CBF">
        <w:t xml:space="preserve">. Sanctions possibles jusqu’à </w:t>
      </w:r>
      <w:r w:rsidRPr="00910CBF">
        <w:rPr>
          <w:b/>
          <w:bCs/>
        </w:rPr>
        <w:t>7 % du CA mondial</w:t>
      </w:r>
      <w:r w:rsidRPr="00910CBF">
        <w:t xml:space="preserve"> : la </w:t>
      </w:r>
      <w:r w:rsidRPr="00910CBF">
        <w:rPr>
          <w:b/>
          <w:bCs/>
        </w:rPr>
        <w:t>cartographie des cas d’usage</w:t>
      </w:r>
      <w:r w:rsidRPr="00910CBF">
        <w:t xml:space="preserve"> devient un prérequis juridique.</w:t>
      </w:r>
    </w:p>
    <w:p w14:paraId="6A1F2B15" w14:textId="77777777" w:rsidR="00910CBF" w:rsidRPr="00910CBF" w:rsidRDefault="00910CBF" w:rsidP="00910CBF">
      <w:pPr>
        <w:numPr>
          <w:ilvl w:val="0"/>
          <w:numId w:val="19"/>
        </w:numPr>
      </w:pPr>
      <w:r w:rsidRPr="00910CBF">
        <w:rPr>
          <w:b/>
          <w:bCs/>
        </w:rPr>
        <w:t>DMA/DSA (UE)</w:t>
      </w:r>
      <w:r w:rsidRPr="00910CBF">
        <w:t xml:space="preserve"> – 2025 marque la </w:t>
      </w:r>
      <w:r w:rsidRPr="00910CBF">
        <w:rPr>
          <w:b/>
          <w:bCs/>
        </w:rPr>
        <w:t>consolidation de l’exécution</w:t>
      </w:r>
      <w:r w:rsidRPr="00910CBF">
        <w:t xml:space="preserve"> (interopérabilité, transparence des systèmes, lutte contre contenus illicites). Les “gatekeepers” doivent démontrer des </w:t>
      </w:r>
      <w:r w:rsidRPr="00910CBF">
        <w:rPr>
          <w:b/>
          <w:bCs/>
        </w:rPr>
        <w:t>mécanismes de conformité</w:t>
      </w:r>
      <w:r w:rsidRPr="00910CBF">
        <w:t xml:space="preserve"> et des voies de recours effectives.</w:t>
      </w:r>
    </w:p>
    <w:p w14:paraId="48C4BB77" w14:textId="77777777" w:rsidR="00910CBF" w:rsidRPr="00910CBF" w:rsidRDefault="00910CBF" w:rsidP="00910CBF">
      <w:r w:rsidRPr="00910CBF">
        <w:rPr>
          <w:b/>
          <w:bCs/>
        </w:rPr>
        <w:t>À retenir 2025</w:t>
      </w:r>
      <w:r w:rsidRPr="00910CBF">
        <w:t xml:space="preserve"> : Data Act = </w:t>
      </w:r>
      <w:r w:rsidRPr="00910CBF">
        <w:rPr>
          <w:b/>
          <w:bCs/>
        </w:rPr>
        <w:t>contrats &amp; architectures</w:t>
      </w:r>
      <w:r w:rsidRPr="00910CBF">
        <w:t xml:space="preserve"> (réversibilité, portabilité) ; AI Act = </w:t>
      </w:r>
      <w:r w:rsidRPr="00910CBF">
        <w:rPr>
          <w:b/>
          <w:bCs/>
        </w:rPr>
        <w:t>produits &amp; usages IA</w:t>
      </w:r>
      <w:r w:rsidRPr="00910CBF">
        <w:t xml:space="preserve"> (gestion des risques, preuves) ; DMA/DSA = </w:t>
      </w:r>
      <w:r w:rsidRPr="00910CBF">
        <w:rPr>
          <w:b/>
          <w:bCs/>
        </w:rPr>
        <w:t>plateformes</w:t>
      </w:r>
      <w:r w:rsidRPr="00910CBF">
        <w:t xml:space="preserve"> (concurrence, transparence).</w:t>
      </w:r>
    </w:p>
    <w:p w14:paraId="3E58A138" w14:textId="77777777" w:rsidR="00910CBF" w:rsidRPr="00910CBF" w:rsidRDefault="00910CBF" w:rsidP="00910CBF">
      <w:r w:rsidRPr="00910CBF">
        <w:pict w14:anchorId="41062725">
          <v:rect id="_x0000_i1090" style="width:0;height:1.5pt" o:hralign="center" o:hrstd="t" o:hr="t" fillcolor="#a0a0a0" stroked="f"/>
        </w:pict>
      </w:r>
    </w:p>
    <w:p w14:paraId="692DA4C7" w14:textId="77777777" w:rsidR="00910CBF" w:rsidRPr="00910CBF" w:rsidRDefault="00910CBF" w:rsidP="00910CBF">
      <w:pPr>
        <w:ind w:left="360"/>
        <w:rPr>
          <w:b/>
          <w:bCs/>
        </w:rPr>
      </w:pPr>
      <w:r w:rsidRPr="00910CBF">
        <w:rPr>
          <w:b/>
          <w:bCs/>
        </w:rPr>
        <w:t>2) Souveraineté, extraterritorialité et localisation des données</w:t>
      </w:r>
    </w:p>
    <w:p w14:paraId="1717526B" w14:textId="77777777" w:rsidR="00910CBF" w:rsidRPr="00910CBF" w:rsidRDefault="00910CBF" w:rsidP="00910CBF">
      <w:pPr>
        <w:numPr>
          <w:ilvl w:val="0"/>
          <w:numId w:val="20"/>
        </w:numPr>
      </w:pPr>
      <w:r w:rsidRPr="00910CBF">
        <w:rPr>
          <w:b/>
          <w:bCs/>
        </w:rPr>
        <w:t>Cloud de confiance &amp; souveraineté</w:t>
      </w:r>
      <w:r w:rsidRPr="00910CBF">
        <w:t xml:space="preserve"> : l’UE et plusieurs institutions renforcent le recours à des </w:t>
      </w:r>
      <w:r w:rsidRPr="00910CBF">
        <w:rPr>
          <w:b/>
          <w:bCs/>
        </w:rPr>
        <w:t>fournisseurs européens</w:t>
      </w:r>
      <w:r w:rsidRPr="00910CBF">
        <w:t xml:space="preserve"> ; toutefois, la </w:t>
      </w:r>
      <w:r w:rsidRPr="00910CBF">
        <w:rPr>
          <w:b/>
          <w:bCs/>
        </w:rPr>
        <w:t>dépendance technologique</w:t>
      </w:r>
      <w:r w:rsidRPr="00910CBF">
        <w:t xml:space="preserve"> (code, mises à jour, support) aux grands acteurs non-UE persiste.</w:t>
      </w:r>
    </w:p>
    <w:p w14:paraId="74C18A77" w14:textId="77777777" w:rsidR="00910CBF" w:rsidRPr="00910CBF" w:rsidRDefault="00910CBF" w:rsidP="00910CBF">
      <w:pPr>
        <w:numPr>
          <w:ilvl w:val="0"/>
          <w:numId w:val="20"/>
        </w:numPr>
      </w:pPr>
      <w:r w:rsidRPr="00910CBF">
        <w:rPr>
          <w:b/>
          <w:bCs/>
        </w:rPr>
        <w:t>Risque de coupures juridiques</w:t>
      </w:r>
      <w:r w:rsidRPr="00910CBF">
        <w:t xml:space="preserve"> : 2025 voit plusieurs </w:t>
      </w:r>
      <w:r w:rsidRPr="00910CBF">
        <w:rPr>
          <w:b/>
          <w:bCs/>
        </w:rPr>
        <w:t>coupures/pressions</w:t>
      </w:r>
      <w:r w:rsidRPr="00910CBF">
        <w:t xml:space="preserve"> liées à des sanctions extraterritoriales (Cloud Act, régimes de sanctions), rappelant que la </w:t>
      </w:r>
      <w:r w:rsidRPr="00910CBF">
        <w:rPr>
          <w:b/>
          <w:bCs/>
        </w:rPr>
        <w:t>localisation</w:t>
      </w:r>
      <w:r w:rsidRPr="00910CBF">
        <w:t xml:space="preserve"> ne suffit pas : l’</w:t>
      </w:r>
      <w:r w:rsidRPr="00910CBF">
        <w:rPr>
          <w:b/>
          <w:bCs/>
        </w:rPr>
        <w:t>empilement de lois applicables</w:t>
      </w:r>
      <w:r w:rsidRPr="00910CBF">
        <w:t xml:space="preserve"> doit être anticipé dans les contrats.</w:t>
      </w:r>
    </w:p>
    <w:p w14:paraId="3FE9EEE4" w14:textId="77777777" w:rsidR="00910CBF" w:rsidRPr="00910CBF" w:rsidRDefault="00910CBF" w:rsidP="00910CBF">
      <w:pPr>
        <w:numPr>
          <w:ilvl w:val="0"/>
          <w:numId w:val="20"/>
        </w:numPr>
      </w:pPr>
      <w:r w:rsidRPr="00910CBF">
        <w:rPr>
          <w:b/>
          <w:bCs/>
        </w:rPr>
        <w:t>Clauses essentielles</w:t>
      </w:r>
      <w:r w:rsidRPr="00910CBF">
        <w:t xml:space="preserve"> : juridiction/loi applicable, </w:t>
      </w:r>
      <w:r w:rsidRPr="00910CBF">
        <w:rPr>
          <w:b/>
          <w:bCs/>
        </w:rPr>
        <w:t>réversibilité</w:t>
      </w:r>
      <w:r w:rsidRPr="00910CBF">
        <w:t xml:space="preserve"> vérifiable, plan de </w:t>
      </w:r>
      <w:r w:rsidRPr="00910CBF">
        <w:rPr>
          <w:b/>
          <w:bCs/>
        </w:rPr>
        <w:t>sortie</w:t>
      </w:r>
      <w:r w:rsidRPr="00910CBF">
        <w:t xml:space="preserve"> (technique + juridique), </w:t>
      </w:r>
      <w:r w:rsidRPr="00910CBF">
        <w:rPr>
          <w:b/>
          <w:bCs/>
        </w:rPr>
        <w:t>mesures contre accès non autorisés</w:t>
      </w:r>
      <w:r w:rsidRPr="00910CBF">
        <w:t xml:space="preserve"> d’autorités étrangères, </w:t>
      </w:r>
      <w:r w:rsidRPr="00910CBF">
        <w:rPr>
          <w:b/>
          <w:bCs/>
        </w:rPr>
        <w:t>segmentation</w:t>
      </w:r>
      <w:r w:rsidRPr="00910CBF">
        <w:t xml:space="preserve"> des données “sensibles”.</w:t>
      </w:r>
    </w:p>
    <w:p w14:paraId="0C7E7DD1" w14:textId="77777777" w:rsidR="00910CBF" w:rsidRPr="00910CBF" w:rsidRDefault="00910CBF" w:rsidP="00910CBF">
      <w:r w:rsidRPr="00910CBF">
        <w:rPr>
          <w:b/>
          <w:bCs/>
        </w:rPr>
        <w:t>À retenir 2025</w:t>
      </w:r>
      <w:r w:rsidRPr="00910CBF">
        <w:t xml:space="preserve"> : la souveraineté est </w:t>
      </w:r>
      <w:r w:rsidRPr="00910CBF">
        <w:rPr>
          <w:b/>
          <w:bCs/>
        </w:rPr>
        <w:t>techno-juridique</w:t>
      </w:r>
      <w:r w:rsidRPr="00910CBF">
        <w:t xml:space="preserve">. Il est utile d’aligner choix d’hébergement, chiffrement, clés et clauses </w:t>
      </w:r>
      <w:r w:rsidRPr="00910CBF">
        <w:rPr>
          <w:b/>
          <w:bCs/>
        </w:rPr>
        <w:t>avec le Data Act</w:t>
      </w:r>
      <w:r w:rsidRPr="00910CBF">
        <w:t xml:space="preserve"> et les risques d’extraterritorialité.</w:t>
      </w:r>
    </w:p>
    <w:p w14:paraId="6BAD7E5C" w14:textId="77777777" w:rsidR="00910CBF" w:rsidRPr="00910CBF" w:rsidRDefault="00910CBF" w:rsidP="00910CBF">
      <w:r w:rsidRPr="00910CBF">
        <w:pict w14:anchorId="24189647">
          <v:rect id="_x0000_i1091" style="width:0;height:1.5pt" o:hralign="center" o:hrstd="t" o:hr="t" fillcolor="#a0a0a0" stroked="f"/>
        </w:pict>
      </w:r>
    </w:p>
    <w:p w14:paraId="79D57B8A" w14:textId="77777777" w:rsidR="00910CBF" w:rsidRPr="00910CBF" w:rsidRDefault="00910CBF" w:rsidP="00910CBF">
      <w:pPr>
        <w:ind w:left="360"/>
        <w:rPr>
          <w:b/>
          <w:bCs/>
        </w:rPr>
      </w:pPr>
      <w:r w:rsidRPr="00910CBF">
        <w:rPr>
          <w:b/>
          <w:bCs/>
        </w:rPr>
        <w:t>3) Conformité RGPD &amp; IA : responsabilité, preuve et sécurité</w:t>
      </w:r>
    </w:p>
    <w:p w14:paraId="0DF16189" w14:textId="77777777" w:rsidR="00910CBF" w:rsidRPr="00910CBF" w:rsidRDefault="00910CBF" w:rsidP="00910CBF">
      <w:pPr>
        <w:numPr>
          <w:ilvl w:val="0"/>
          <w:numId w:val="21"/>
        </w:numPr>
      </w:pPr>
      <w:r w:rsidRPr="00910CBF">
        <w:rPr>
          <w:b/>
          <w:bCs/>
        </w:rPr>
        <w:t>Responsabilité “IA en production”</w:t>
      </w:r>
      <w:r w:rsidRPr="00910CBF">
        <w:t xml:space="preserve"> : les usages génératifs/agents exigent </w:t>
      </w:r>
      <w:r w:rsidRPr="00910CBF">
        <w:rPr>
          <w:b/>
          <w:bCs/>
        </w:rPr>
        <w:t>contrôle humain</w:t>
      </w:r>
      <w:r w:rsidRPr="00910CBF">
        <w:t xml:space="preserve">, traçabilité des </w:t>
      </w:r>
      <w:r w:rsidRPr="00910CBF">
        <w:rPr>
          <w:b/>
          <w:bCs/>
        </w:rPr>
        <w:t>prompts/datasets/versions</w:t>
      </w:r>
      <w:r w:rsidRPr="00910CBF">
        <w:t xml:space="preserve">, et </w:t>
      </w:r>
      <w:r w:rsidRPr="00910CBF">
        <w:rPr>
          <w:b/>
          <w:bCs/>
        </w:rPr>
        <w:t>journaux d’exécution</w:t>
      </w:r>
      <w:r w:rsidRPr="00910CBF">
        <w:t>. Les litiges de 2025 rappellent que l’</w:t>
      </w:r>
      <w:r w:rsidRPr="00910CBF">
        <w:rPr>
          <w:b/>
          <w:bCs/>
        </w:rPr>
        <w:t>exploitant</w:t>
      </w:r>
      <w:r w:rsidRPr="00910CBF">
        <w:t xml:space="preserve"> demeure responsable des dommages (erreurs, biais, atteintes IP).</w:t>
      </w:r>
    </w:p>
    <w:p w14:paraId="003776C0" w14:textId="77777777" w:rsidR="00910CBF" w:rsidRPr="00910CBF" w:rsidRDefault="00910CBF" w:rsidP="00910CBF">
      <w:pPr>
        <w:numPr>
          <w:ilvl w:val="0"/>
          <w:numId w:val="21"/>
        </w:numPr>
      </w:pPr>
      <w:r w:rsidRPr="00910CBF">
        <w:rPr>
          <w:b/>
          <w:bCs/>
        </w:rPr>
        <w:t>Violations de données avec vecteurs IA</w:t>
      </w:r>
      <w:r w:rsidRPr="00910CBF">
        <w:t xml:space="preserve"> : hausse des incidents où l’IA est </w:t>
      </w:r>
      <w:r w:rsidRPr="00910CBF">
        <w:rPr>
          <w:b/>
          <w:bCs/>
        </w:rPr>
        <w:t>cause</w:t>
      </w:r>
      <w:r w:rsidRPr="00910CBF">
        <w:t xml:space="preserve"> (phishing, deepfakes, automatisation) et </w:t>
      </w:r>
      <w:r w:rsidRPr="00910CBF">
        <w:rPr>
          <w:b/>
          <w:bCs/>
        </w:rPr>
        <w:t>remède</w:t>
      </w:r>
      <w:r w:rsidRPr="00910CBF">
        <w:t xml:space="preserve"> (détection). Les notifications à l’autorité compétente (CNIL, etc.) et la </w:t>
      </w:r>
      <w:r w:rsidRPr="00910CBF">
        <w:rPr>
          <w:b/>
          <w:bCs/>
        </w:rPr>
        <w:t>gestion de crise</w:t>
      </w:r>
      <w:r w:rsidRPr="00910CBF">
        <w:t xml:space="preserve"> doivent être éprouvées.</w:t>
      </w:r>
    </w:p>
    <w:p w14:paraId="6AD35D25" w14:textId="77777777" w:rsidR="00910CBF" w:rsidRPr="00910CBF" w:rsidRDefault="00910CBF" w:rsidP="00910CBF">
      <w:pPr>
        <w:numPr>
          <w:ilvl w:val="0"/>
          <w:numId w:val="21"/>
        </w:numPr>
      </w:pPr>
      <w:r w:rsidRPr="00910CBF">
        <w:rPr>
          <w:b/>
          <w:bCs/>
        </w:rPr>
        <w:t>OAuth/API &amp; SaaS</w:t>
      </w:r>
      <w:r w:rsidRPr="00910CBF">
        <w:t xml:space="preserve"> : en 2025, les failles de </w:t>
      </w:r>
      <w:r w:rsidRPr="00910CBF">
        <w:rPr>
          <w:b/>
          <w:bCs/>
        </w:rPr>
        <w:t>jetons/permissions</w:t>
      </w:r>
      <w:r w:rsidRPr="00910CBF">
        <w:t xml:space="preserve"> soulignent l’importance des </w:t>
      </w:r>
      <w:r w:rsidRPr="00910CBF">
        <w:rPr>
          <w:b/>
          <w:bCs/>
        </w:rPr>
        <w:t>scopes minimaux</w:t>
      </w:r>
      <w:r w:rsidRPr="00910CBF">
        <w:t>, de l’</w:t>
      </w:r>
      <w:r w:rsidRPr="00910CBF">
        <w:rPr>
          <w:b/>
          <w:bCs/>
        </w:rPr>
        <w:t>audit continu</w:t>
      </w:r>
      <w:r w:rsidRPr="00910CBF">
        <w:t xml:space="preserve"> des intégrations et de l’</w:t>
      </w:r>
      <w:r w:rsidRPr="00910CBF">
        <w:rPr>
          <w:b/>
          <w:bCs/>
        </w:rPr>
        <w:t>inventaire des sous-traitants</w:t>
      </w:r>
      <w:r w:rsidRPr="00910CBF">
        <w:t>.</w:t>
      </w:r>
    </w:p>
    <w:p w14:paraId="49A93387" w14:textId="77777777" w:rsidR="00910CBF" w:rsidRPr="00910CBF" w:rsidRDefault="00910CBF" w:rsidP="00910CBF">
      <w:r w:rsidRPr="00910CBF">
        <w:rPr>
          <w:b/>
          <w:bCs/>
        </w:rPr>
        <w:t>À retenir 2025</w:t>
      </w:r>
      <w:r w:rsidRPr="00910CBF">
        <w:t xml:space="preserve"> : on documente </w:t>
      </w:r>
      <w:r w:rsidRPr="00910CBF">
        <w:rPr>
          <w:b/>
          <w:bCs/>
        </w:rPr>
        <w:t>qui décide, sur quelle base, avec quelles données</w:t>
      </w:r>
      <w:r w:rsidRPr="00910CBF">
        <w:t xml:space="preserve">. La </w:t>
      </w:r>
      <w:r w:rsidRPr="00910CBF">
        <w:rPr>
          <w:b/>
          <w:bCs/>
        </w:rPr>
        <w:t>preuve</w:t>
      </w:r>
      <w:r w:rsidRPr="00910CBF">
        <w:t xml:space="preserve"> (logs, jeux de tests, versions) devient un actif juridique.</w:t>
      </w:r>
    </w:p>
    <w:p w14:paraId="7B2A973C" w14:textId="77777777" w:rsidR="00910CBF" w:rsidRPr="00910CBF" w:rsidRDefault="00910CBF" w:rsidP="00910CBF">
      <w:r w:rsidRPr="00910CBF">
        <w:pict w14:anchorId="5E49E17B">
          <v:rect id="_x0000_i1092" style="width:0;height:1.5pt" o:hralign="center" o:hrstd="t" o:hr="t" fillcolor="#a0a0a0" stroked="f"/>
        </w:pict>
      </w:r>
    </w:p>
    <w:p w14:paraId="2BF8C6CB" w14:textId="77777777" w:rsidR="00910CBF" w:rsidRPr="00910CBF" w:rsidRDefault="00910CBF" w:rsidP="00910CBF">
      <w:pPr>
        <w:ind w:left="360"/>
        <w:rPr>
          <w:b/>
          <w:bCs/>
        </w:rPr>
      </w:pPr>
      <w:r w:rsidRPr="00910CBF">
        <w:rPr>
          <w:b/>
          <w:bCs/>
        </w:rPr>
        <w:lastRenderedPageBreak/>
        <w:t>4) Sécurité réglementaire : post-quantique, certifications et plans</w:t>
      </w:r>
    </w:p>
    <w:p w14:paraId="01EF261A" w14:textId="77777777" w:rsidR="00910CBF" w:rsidRPr="00910CBF" w:rsidRDefault="00910CBF" w:rsidP="00910CBF">
      <w:pPr>
        <w:numPr>
          <w:ilvl w:val="0"/>
          <w:numId w:val="22"/>
        </w:numPr>
      </w:pPr>
      <w:r w:rsidRPr="00910CBF">
        <w:rPr>
          <w:b/>
          <w:bCs/>
        </w:rPr>
        <w:t>Trajectoire post-quantique (France/UE)</w:t>
      </w:r>
      <w:r w:rsidRPr="00910CBF">
        <w:t xml:space="preserve"> : en 2025, les autorités (ANSSI) clarifient un </w:t>
      </w:r>
      <w:r w:rsidRPr="00910CBF">
        <w:rPr>
          <w:b/>
          <w:bCs/>
        </w:rPr>
        <w:t>calendrier de migration</w:t>
      </w:r>
      <w:r w:rsidRPr="00910CBF">
        <w:t xml:space="preserve"> (inventaire crypto, priorisation, pilotes) visant 2027–2030. Les marchés publics et secteurs régulés initient des </w:t>
      </w:r>
      <w:r w:rsidRPr="00910CBF">
        <w:rPr>
          <w:b/>
          <w:bCs/>
        </w:rPr>
        <w:t>plans de transition</w:t>
      </w:r>
      <w:r w:rsidRPr="00910CBF">
        <w:t>.</w:t>
      </w:r>
    </w:p>
    <w:p w14:paraId="4E956A71" w14:textId="77777777" w:rsidR="00910CBF" w:rsidRPr="00910CBF" w:rsidRDefault="00910CBF" w:rsidP="00910CBF">
      <w:pPr>
        <w:numPr>
          <w:ilvl w:val="0"/>
          <w:numId w:val="22"/>
        </w:numPr>
      </w:pPr>
      <w:r w:rsidRPr="00910CBF">
        <w:rPr>
          <w:b/>
          <w:bCs/>
        </w:rPr>
        <w:t>Certifications &amp; schémas européens</w:t>
      </w:r>
      <w:r w:rsidRPr="00910CBF">
        <w:t xml:space="preserve"> : 2025 voit l’extension des schémas de </w:t>
      </w:r>
      <w:r w:rsidRPr="00910CBF">
        <w:rPr>
          <w:b/>
          <w:bCs/>
        </w:rPr>
        <w:t>certification cybersécurité</w:t>
      </w:r>
      <w:r w:rsidRPr="00910CBF">
        <w:t xml:space="preserve"> et leur articulation avec les labels nationaux. Pour les organisations, l’intérêt est </w:t>
      </w:r>
      <w:r w:rsidRPr="00910CBF">
        <w:rPr>
          <w:b/>
          <w:bCs/>
        </w:rPr>
        <w:t>probatif</w:t>
      </w:r>
      <w:r w:rsidRPr="00910CBF">
        <w:t xml:space="preserve"> (démontrer la diligence raisonnable) et </w:t>
      </w:r>
      <w:r w:rsidRPr="00910CBF">
        <w:rPr>
          <w:b/>
          <w:bCs/>
        </w:rPr>
        <w:t>contractuel</w:t>
      </w:r>
      <w:r w:rsidRPr="00910CBF">
        <w:t xml:space="preserve"> (exigence fournisseur).</w:t>
      </w:r>
    </w:p>
    <w:p w14:paraId="55215754" w14:textId="77777777" w:rsidR="00910CBF" w:rsidRPr="00910CBF" w:rsidRDefault="00910CBF" w:rsidP="00910CBF">
      <w:r w:rsidRPr="00910CBF">
        <w:rPr>
          <w:b/>
          <w:bCs/>
        </w:rPr>
        <w:t>À retenir 2025</w:t>
      </w:r>
      <w:r w:rsidRPr="00910CBF">
        <w:t xml:space="preserve"> : lancer </w:t>
      </w:r>
      <w:r w:rsidRPr="00910CBF">
        <w:rPr>
          <w:b/>
          <w:bCs/>
        </w:rPr>
        <w:t>inventaire &amp; feuille de route crypto-PQC</w:t>
      </w:r>
      <w:r w:rsidRPr="00910CBF">
        <w:t xml:space="preserve">, intégrer les </w:t>
      </w:r>
      <w:r w:rsidRPr="00910CBF">
        <w:rPr>
          <w:b/>
          <w:bCs/>
        </w:rPr>
        <w:t>exigences de certification</w:t>
      </w:r>
      <w:r w:rsidRPr="00910CBF">
        <w:t xml:space="preserve"> dans les appels d’offres et la supply chain.</w:t>
      </w:r>
    </w:p>
    <w:p w14:paraId="7B202008" w14:textId="77777777" w:rsidR="00910CBF" w:rsidRPr="00910CBF" w:rsidRDefault="00910CBF" w:rsidP="00910CBF">
      <w:r w:rsidRPr="00910CBF">
        <w:pict w14:anchorId="535C14A8">
          <v:rect id="_x0000_i1093" style="width:0;height:1.5pt" o:hralign="center" o:hrstd="t" o:hr="t" fillcolor="#a0a0a0" stroked="f"/>
        </w:pict>
      </w:r>
    </w:p>
    <w:p w14:paraId="1A79D00A" w14:textId="77777777" w:rsidR="00910CBF" w:rsidRPr="00910CBF" w:rsidRDefault="00910CBF" w:rsidP="00910CBF">
      <w:pPr>
        <w:ind w:left="360"/>
        <w:rPr>
          <w:b/>
          <w:bCs/>
        </w:rPr>
      </w:pPr>
      <w:r w:rsidRPr="00910CBF">
        <w:rPr>
          <w:b/>
          <w:bCs/>
        </w:rPr>
        <w:t>5) Secteurs et fonctions exposés en 2025</w:t>
      </w:r>
    </w:p>
    <w:p w14:paraId="4E2ED04C" w14:textId="77777777" w:rsidR="00910CBF" w:rsidRPr="00910CBF" w:rsidRDefault="00910CBF" w:rsidP="00910CBF">
      <w:pPr>
        <w:numPr>
          <w:ilvl w:val="0"/>
          <w:numId w:val="23"/>
        </w:numPr>
      </w:pPr>
      <w:r w:rsidRPr="00910CBF">
        <w:rPr>
          <w:b/>
          <w:bCs/>
        </w:rPr>
        <w:t>Plateformes &amp; retail/luxe</w:t>
      </w:r>
      <w:r w:rsidRPr="00910CBF">
        <w:t xml:space="preserve"> : forte exposition aux fuites de données et à la concurrence régulatoire (DMA).</w:t>
      </w:r>
    </w:p>
    <w:p w14:paraId="74F9C414" w14:textId="77777777" w:rsidR="00910CBF" w:rsidRPr="00910CBF" w:rsidRDefault="00910CBF" w:rsidP="00910CBF">
      <w:pPr>
        <w:numPr>
          <w:ilvl w:val="0"/>
          <w:numId w:val="23"/>
        </w:numPr>
      </w:pPr>
      <w:r w:rsidRPr="00910CBF">
        <w:rPr>
          <w:b/>
          <w:bCs/>
        </w:rPr>
        <w:t>Télécoms/Opérateurs</w:t>
      </w:r>
      <w:r w:rsidRPr="00910CBF">
        <w:t xml:space="preserve"> : incidents à grande échelle (données clients, IBAN, etc.) → obligations RGPD renforcées et sanctions potentielles.</w:t>
      </w:r>
    </w:p>
    <w:p w14:paraId="2CE4369E" w14:textId="77777777" w:rsidR="00910CBF" w:rsidRPr="00910CBF" w:rsidRDefault="00910CBF" w:rsidP="00910CBF">
      <w:pPr>
        <w:numPr>
          <w:ilvl w:val="0"/>
          <w:numId w:val="23"/>
        </w:numPr>
      </w:pPr>
      <w:r w:rsidRPr="00910CBF">
        <w:rPr>
          <w:b/>
          <w:bCs/>
        </w:rPr>
        <w:t>Institutions internationales &amp; marchés publics</w:t>
      </w:r>
      <w:r w:rsidRPr="00910CBF">
        <w:t xml:space="preserve"> : risques politico-juridiques (sanctions, accès aux données), nécessitant </w:t>
      </w:r>
      <w:r w:rsidRPr="00910CBF">
        <w:rPr>
          <w:b/>
          <w:bCs/>
        </w:rPr>
        <w:t>cloisonnement</w:t>
      </w:r>
      <w:r w:rsidRPr="00910CBF">
        <w:t xml:space="preserve">, </w:t>
      </w:r>
      <w:r w:rsidRPr="00910CBF">
        <w:rPr>
          <w:b/>
          <w:bCs/>
        </w:rPr>
        <w:t>cryptographie</w:t>
      </w:r>
      <w:r w:rsidRPr="00910CBF">
        <w:t xml:space="preserve"> et </w:t>
      </w:r>
      <w:r w:rsidRPr="00910CBF">
        <w:rPr>
          <w:b/>
          <w:bCs/>
        </w:rPr>
        <w:t>plan de continuité multi-cloud</w:t>
      </w:r>
      <w:r w:rsidRPr="00910CBF">
        <w:t>.</w:t>
      </w:r>
    </w:p>
    <w:p w14:paraId="4A100EE9" w14:textId="77777777" w:rsidR="00910CBF" w:rsidRPr="00910CBF" w:rsidRDefault="00910CBF" w:rsidP="00910CBF">
      <w:r w:rsidRPr="00910CBF">
        <w:rPr>
          <w:b/>
          <w:bCs/>
        </w:rPr>
        <w:t>À retenir 2025</w:t>
      </w:r>
      <w:r w:rsidRPr="00910CBF">
        <w:t xml:space="preserve"> : adapter la </w:t>
      </w:r>
      <w:r w:rsidRPr="00910CBF">
        <w:rPr>
          <w:b/>
          <w:bCs/>
        </w:rPr>
        <w:t>cartographie des risques juridiques</w:t>
      </w:r>
      <w:r w:rsidRPr="00910CBF">
        <w:t xml:space="preserve"> au </w:t>
      </w:r>
      <w:r w:rsidRPr="00910CBF">
        <w:rPr>
          <w:b/>
          <w:bCs/>
        </w:rPr>
        <w:t>secteur</w:t>
      </w:r>
      <w:r w:rsidRPr="00910CBF">
        <w:t xml:space="preserve"> (obligations spécifiques, autorités compétentes, sanctions).</w:t>
      </w:r>
    </w:p>
    <w:p w14:paraId="6518CD5F" w14:textId="77777777" w:rsidR="00910CBF" w:rsidRPr="00910CBF" w:rsidRDefault="00910CBF" w:rsidP="00910CBF">
      <w:r w:rsidRPr="00910CBF">
        <w:pict w14:anchorId="0E915D3B">
          <v:rect id="_x0000_i1094" style="width:0;height:1.5pt" o:hralign="center" o:hrstd="t" o:hr="t" fillcolor="#a0a0a0" stroked="f"/>
        </w:pict>
      </w:r>
    </w:p>
    <w:p w14:paraId="038B8F5B" w14:textId="77777777" w:rsidR="00910CBF" w:rsidRPr="00910CBF" w:rsidRDefault="00910CBF" w:rsidP="00910CBF">
      <w:pPr>
        <w:ind w:left="360"/>
        <w:rPr>
          <w:b/>
          <w:bCs/>
        </w:rPr>
      </w:pPr>
      <w:r w:rsidRPr="00910CBF">
        <w:rPr>
          <w:b/>
          <w:bCs/>
        </w:rPr>
        <w:t>6) Feuille de route conformité (pratique) — 2025 → 2027</w:t>
      </w:r>
    </w:p>
    <w:p w14:paraId="1C07415F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rPr>
          <w:b/>
          <w:bCs/>
        </w:rPr>
        <w:t>Cartographier les cas d’usage IA</w:t>
      </w:r>
      <w:r w:rsidRPr="00910CBF">
        <w:t xml:space="preserve"> par </w:t>
      </w:r>
      <w:r w:rsidRPr="00910CBF">
        <w:rPr>
          <w:b/>
          <w:bCs/>
        </w:rPr>
        <w:t>niveau de risque (AI Act)</w:t>
      </w:r>
      <w:r w:rsidRPr="00910CBF">
        <w:t xml:space="preserve"> ; définir </w:t>
      </w:r>
      <w:r w:rsidRPr="00910CBF">
        <w:rPr>
          <w:b/>
          <w:bCs/>
        </w:rPr>
        <w:t>contrôles, tests et documentation</w:t>
      </w:r>
      <w:r w:rsidRPr="00910CBF">
        <w:t xml:space="preserve"> associés.</w:t>
      </w:r>
    </w:p>
    <w:p w14:paraId="5D638C89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rPr>
          <w:b/>
          <w:bCs/>
        </w:rPr>
        <w:t>Réviser les contrats cloud</w:t>
      </w:r>
      <w:r w:rsidRPr="00910CBF">
        <w:t xml:space="preserve"> à l’aune du </w:t>
      </w:r>
      <w:r w:rsidRPr="00910CBF">
        <w:rPr>
          <w:b/>
          <w:bCs/>
        </w:rPr>
        <w:t>Data Act</w:t>
      </w:r>
      <w:r w:rsidRPr="00910CBF">
        <w:t xml:space="preserve"> : réversibilité testée, interopérabilité, calendrier “frais de sortie = 0”, clauses d’accès public en crise.</w:t>
      </w:r>
    </w:p>
    <w:p w14:paraId="4F13585B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t xml:space="preserve">Mettre en place un </w:t>
      </w:r>
      <w:r w:rsidRPr="00910CBF">
        <w:rPr>
          <w:b/>
          <w:bCs/>
        </w:rPr>
        <w:t>registre des traitements IA</w:t>
      </w:r>
      <w:r w:rsidRPr="00910CBF">
        <w:t xml:space="preserve"> (sources de données, prompts, versions de modèles, contrôles humains) et un </w:t>
      </w:r>
      <w:r w:rsidRPr="00910CBF">
        <w:rPr>
          <w:b/>
          <w:bCs/>
        </w:rPr>
        <w:t>processus d’homologation</w:t>
      </w:r>
      <w:r w:rsidRPr="00910CBF">
        <w:t>.</w:t>
      </w:r>
    </w:p>
    <w:p w14:paraId="34318D2D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rPr>
          <w:b/>
          <w:bCs/>
        </w:rPr>
        <w:t>Durcir la chaîne OAuth/API</w:t>
      </w:r>
      <w:r w:rsidRPr="00910CBF">
        <w:t xml:space="preserve"> : scopes minimaux, rotation des secrets, revue périodique des intégrations SaaS et journaux centralisés.</w:t>
      </w:r>
    </w:p>
    <w:p w14:paraId="6C01C353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t xml:space="preserve">Lancer le </w:t>
      </w:r>
      <w:r w:rsidRPr="00910CBF">
        <w:rPr>
          <w:b/>
          <w:bCs/>
        </w:rPr>
        <w:t>plan post-quantique</w:t>
      </w:r>
      <w:r w:rsidRPr="00910CBF">
        <w:t xml:space="preserve"> : inventaire crypto, priorisation par criticité, pilotes et exigences fournisseurs.</w:t>
      </w:r>
    </w:p>
    <w:p w14:paraId="1AAF280A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rPr>
          <w:b/>
          <w:bCs/>
        </w:rPr>
        <w:t>Former</w:t>
      </w:r>
      <w:r w:rsidRPr="00910CBF">
        <w:t xml:space="preserve"> juristes, RSSI et métiers : AI Act / Data Act, DPIA IA, preuve électronique, gestion de crise et communication avec l’autorité.</w:t>
      </w:r>
    </w:p>
    <w:p w14:paraId="4C9FB5DD" w14:textId="77777777" w:rsidR="00910CBF" w:rsidRPr="00910CBF" w:rsidRDefault="00910CBF" w:rsidP="00910CBF">
      <w:pPr>
        <w:numPr>
          <w:ilvl w:val="0"/>
          <w:numId w:val="24"/>
        </w:numPr>
      </w:pPr>
      <w:r w:rsidRPr="00910CBF">
        <w:t xml:space="preserve">Définir des </w:t>
      </w:r>
      <w:r w:rsidRPr="00910CBF">
        <w:rPr>
          <w:b/>
          <w:bCs/>
        </w:rPr>
        <w:t>indicateurs</w:t>
      </w:r>
      <w:r w:rsidRPr="00910CBF">
        <w:t xml:space="preserve"> : conformité (preuves disponibles), délais de notification, taux de réversibilité testée, couverture contractuelle Data Act.</w:t>
      </w:r>
    </w:p>
    <w:p w14:paraId="2610BBE6" w14:textId="77777777" w:rsidR="00910CBF" w:rsidRPr="00910CBF" w:rsidRDefault="00910CBF" w:rsidP="00910CBF">
      <w:r w:rsidRPr="00910CBF">
        <w:pict w14:anchorId="79B25EFF">
          <v:rect id="_x0000_i1095" style="width:0;height:1.5pt" o:hralign="center" o:hrstd="t" o:hr="t" fillcolor="#a0a0a0" stroked="f"/>
        </w:pict>
      </w:r>
    </w:p>
    <w:p w14:paraId="6B052D82" w14:textId="77777777" w:rsidR="00910CBF" w:rsidRPr="00910CBF" w:rsidRDefault="00910CBF" w:rsidP="00910CBF">
      <w:pPr>
        <w:rPr>
          <w:b/>
          <w:bCs/>
        </w:rPr>
      </w:pPr>
      <w:r w:rsidRPr="00910CBF">
        <w:rPr>
          <w:b/>
          <w:bCs/>
        </w:rPr>
        <w:t>Bibliographie sélective (2025, du plus récent au plus ancien)</w:t>
      </w:r>
    </w:p>
    <w:p w14:paraId="40AFD4F4" w14:textId="77777777" w:rsidR="00910CBF" w:rsidRPr="00910CBF" w:rsidRDefault="00910CBF" w:rsidP="00910CBF">
      <w:pPr>
        <w:numPr>
          <w:ilvl w:val="0"/>
          <w:numId w:val="25"/>
        </w:numPr>
      </w:pPr>
      <w:r w:rsidRPr="00910CBF">
        <w:rPr>
          <w:b/>
          <w:bCs/>
        </w:rPr>
        <w:t>Data Act (UE, 12/09/2025)</w:t>
      </w:r>
      <w:r w:rsidRPr="00910CBF">
        <w:t xml:space="preserve"> — Portabilité, interopérabilité cloud, accès public en crise, ouverture des données IoT : base juridique des contrats et architectures cloud 2025.</w:t>
      </w:r>
    </w:p>
    <w:p w14:paraId="348970E1" w14:textId="77777777" w:rsidR="00910CBF" w:rsidRPr="00910CBF" w:rsidRDefault="00910CBF" w:rsidP="00910CBF">
      <w:pPr>
        <w:numPr>
          <w:ilvl w:val="0"/>
          <w:numId w:val="25"/>
        </w:numPr>
      </w:pPr>
      <w:r w:rsidRPr="00910CBF">
        <w:rPr>
          <w:b/>
          <w:bCs/>
        </w:rPr>
        <w:t>AI Act (UE, 2025 – application progressive 2024-2027)</w:t>
      </w:r>
      <w:r w:rsidRPr="00910CBF">
        <w:t xml:space="preserve"> — Cadre de gestion des risques IA, exigences de transparence/documentation, supervision humaine ; référence pour classifier les cas d’usage.</w:t>
      </w:r>
    </w:p>
    <w:p w14:paraId="17BC3238" w14:textId="77777777" w:rsidR="00910CBF" w:rsidRPr="00910CBF" w:rsidRDefault="00910CBF" w:rsidP="00910CBF">
      <w:pPr>
        <w:numPr>
          <w:ilvl w:val="0"/>
          <w:numId w:val="25"/>
        </w:numPr>
      </w:pPr>
      <w:r w:rsidRPr="00910CBF">
        <w:rPr>
          <w:b/>
          <w:bCs/>
        </w:rPr>
        <w:lastRenderedPageBreak/>
        <w:t>DMA/DSA (UE, 2025)</w:t>
      </w:r>
      <w:r w:rsidRPr="00910CBF">
        <w:t xml:space="preserve"> — Renforcement de l’exécution : obligations d’interopérabilité et de transparence pour les grandes plateformes ; impacts concurrence et protection des utilisateurs.</w:t>
      </w:r>
    </w:p>
    <w:p w14:paraId="29DF56F3" w14:textId="77777777" w:rsidR="00910CBF" w:rsidRPr="00910CBF" w:rsidRDefault="00910CBF" w:rsidP="00910CBF">
      <w:pPr>
        <w:numPr>
          <w:ilvl w:val="0"/>
          <w:numId w:val="25"/>
        </w:numPr>
      </w:pPr>
      <w:r w:rsidRPr="00910CBF">
        <w:rPr>
          <w:b/>
          <w:bCs/>
        </w:rPr>
        <w:t>Communications autorités FR/UE (2025)</w:t>
      </w:r>
      <w:r w:rsidRPr="00910CBF">
        <w:t xml:space="preserve"> — ANSSI (trajectoire post-quantique), positions sur souveraineté et risques d’extraterritorialité ; utiles pour bâtir plans crypto et clauses contractuelles.</w:t>
      </w:r>
    </w:p>
    <w:p w14:paraId="7817827D" w14:textId="77777777" w:rsidR="00910CBF" w:rsidRPr="00910CBF" w:rsidRDefault="00910CBF" w:rsidP="00910CBF">
      <w:pPr>
        <w:numPr>
          <w:ilvl w:val="0"/>
          <w:numId w:val="25"/>
        </w:numPr>
      </w:pPr>
      <w:r w:rsidRPr="00910CBF">
        <w:rPr>
          <w:b/>
          <w:bCs/>
        </w:rPr>
        <w:t>Dossiers 2025 (LMI, Usine Digitale)</w:t>
      </w:r>
      <w:r w:rsidRPr="00910CBF">
        <w:t xml:space="preserve"> — Souveraineté numérique, extraterritorialité et cas d’incidents (opérateurs, institutions) : matérialisent les enjeux de preuve, de réversibilité et de sécurité.</w:t>
      </w:r>
    </w:p>
    <w:p w14:paraId="354E3D43" w14:textId="77777777" w:rsidR="001E273A" w:rsidRPr="00910CBF" w:rsidRDefault="001E273A" w:rsidP="00910CBF"/>
    <w:sectPr w:rsidR="001E273A" w:rsidRPr="00910CBF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4530" w14:textId="77777777" w:rsidR="00480776" w:rsidRDefault="00480776" w:rsidP="004C7BF0">
      <w:r>
        <w:separator/>
      </w:r>
    </w:p>
  </w:endnote>
  <w:endnote w:type="continuationSeparator" w:id="0">
    <w:p w14:paraId="57AC5AF1" w14:textId="77777777" w:rsidR="00480776" w:rsidRDefault="00480776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B616" w14:textId="77777777" w:rsidR="00480776" w:rsidRDefault="00480776" w:rsidP="004C7BF0">
      <w:r>
        <w:separator/>
      </w:r>
    </w:p>
  </w:footnote>
  <w:footnote w:type="continuationSeparator" w:id="0">
    <w:p w14:paraId="61F8A869" w14:textId="77777777" w:rsidR="00480776" w:rsidRDefault="00480776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C21BD"/>
    <w:multiLevelType w:val="multilevel"/>
    <w:tmpl w:val="03E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F6A42"/>
    <w:multiLevelType w:val="multilevel"/>
    <w:tmpl w:val="556C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13F6"/>
    <w:multiLevelType w:val="hybridMultilevel"/>
    <w:tmpl w:val="ACD4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170BC"/>
    <w:multiLevelType w:val="hybridMultilevel"/>
    <w:tmpl w:val="BF26BDF2"/>
    <w:lvl w:ilvl="0" w:tplc="859C16DE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C4FD6"/>
    <w:multiLevelType w:val="multilevel"/>
    <w:tmpl w:val="0F4E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638DC"/>
    <w:multiLevelType w:val="multilevel"/>
    <w:tmpl w:val="2B0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D065A"/>
    <w:multiLevelType w:val="multilevel"/>
    <w:tmpl w:val="CAB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016B2"/>
    <w:multiLevelType w:val="multilevel"/>
    <w:tmpl w:val="A32A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6C3160"/>
    <w:multiLevelType w:val="multilevel"/>
    <w:tmpl w:val="FF8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"/>
  </w:num>
  <w:num w:numId="2" w16cid:durableId="1969772821">
    <w:abstractNumId w:val="4"/>
  </w:num>
  <w:num w:numId="3" w16cid:durableId="993755049">
    <w:abstractNumId w:val="11"/>
  </w:num>
  <w:num w:numId="4" w16cid:durableId="88350905">
    <w:abstractNumId w:val="24"/>
  </w:num>
  <w:num w:numId="5" w16cid:durableId="1259873310">
    <w:abstractNumId w:val="0"/>
  </w:num>
  <w:num w:numId="6" w16cid:durableId="940913695">
    <w:abstractNumId w:val="9"/>
  </w:num>
  <w:num w:numId="7" w16cid:durableId="816412162">
    <w:abstractNumId w:val="14"/>
  </w:num>
  <w:num w:numId="8" w16cid:durableId="164636122">
    <w:abstractNumId w:val="21"/>
  </w:num>
  <w:num w:numId="9" w16cid:durableId="1391228641">
    <w:abstractNumId w:val="8"/>
  </w:num>
  <w:num w:numId="10" w16cid:durableId="1693265206">
    <w:abstractNumId w:val="6"/>
  </w:num>
  <w:num w:numId="11" w16cid:durableId="1273130144">
    <w:abstractNumId w:val="3"/>
  </w:num>
  <w:num w:numId="12" w16cid:durableId="1490556548">
    <w:abstractNumId w:val="20"/>
  </w:num>
  <w:num w:numId="13" w16cid:durableId="1488012275">
    <w:abstractNumId w:val="19"/>
  </w:num>
  <w:num w:numId="14" w16cid:durableId="669020599">
    <w:abstractNumId w:val="1"/>
  </w:num>
  <w:num w:numId="15" w16cid:durableId="818350440">
    <w:abstractNumId w:val="15"/>
  </w:num>
  <w:num w:numId="16" w16cid:durableId="1939824947">
    <w:abstractNumId w:val="23"/>
  </w:num>
  <w:num w:numId="17" w16cid:durableId="823933720">
    <w:abstractNumId w:val="10"/>
  </w:num>
  <w:num w:numId="18" w16cid:durableId="479734414">
    <w:abstractNumId w:val="7"/>
  </w:num>
  <w:num w:numId="19" w16cid:durableId="1179349986">
    <w:abstractNumId w:val="2"/>
  </w:num>
  <w:num w:numId="20" w16cid:durableId="1790540606">
    <w:abstractNumId w:val="18"/>
  </w:num>
  <w:num w:numId="21" w16cid:durableId="203643294">
    <w:abstractNumId w:val="13"/>
  </w:num>
  <w:num w:numId="22" w16cid:durableId="885145513">
    <w:abstractNumId w:val="16"/>
  </w:num>
  <w:num w:numId="23" w16cid:durableId="237323333">
    <w:abstractNumId w:val="22"/>
  </w:num>
  <w:num w:numId="24" w16cid:durableId="2105026279">
    <w:abstractNumId w:val="12"/>
  </w:num>
  <w:num w:numId="25" w16cid:durableId="41066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645C9"/>
    <w:rsid w:val="0007241A"/>
    <w:rsid w:val="00135CDD"/>
    <w:rsid w:val="00151806"/>
    <w:rsid w:val="001D0EEB"/>
    <w:rsid w:val="001E273A"/>
    <w:rsid w:val="00316764"/>
    <w:rsid w:val="003276BD"/>
    <w:rsid w:val="00346F55"/>
    <w:rsid w:val="0044368F"/>
    <w:rsid w:val="00480776"/>
    <w:rsid w:val="004A6242"/>
    <w:rsid w:val="004C7BF0"/>
    <w:rsid w:val="004D247E"/>
    <w:rsid w:val="005172DB"/>
    <w:rsid w:val="005453AD"/>
    <w:rsid w:val="00580F46"/>
    <w:rsid w:val="00620090"/>
    <w:rsid w:val="006460AB"/>
    <w:rsid w:val="00677D09"/>
    <w:rsid w:val="006B7971"/>
    <w:rsid w:val="00713AC4"/>
    <w:rsid w:val="007C05B7"/>
    <w:rsid w:val="00830A03"/>
    <w:rsid w:val="008608D3"/>
    <w:rsid w:val="00910CBF"/>
    <w:rsid w:val="00960C5A"/>
    <w:rsid w:val="00964131"/>
    <w:rsid w:val="00965BD9"/>
    <w:rsid w:val="00B4568C"/>
    <w:rsid w:val="00B649B3"/>
    <w:rsid w:val="00CA4633"/>
    <w:rsid w:val="00CE15A3"/>
    <w:rsid w:val="00D016DC"/>
    <w:rsid w:val="00F47F65"/>
    <w:rsid w:val="00F50519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568C"/>
    <w:pPr>
      <w:keepNext/>
      <w:keepLines/>
      <w:numPr>
        <w:numId w:val="17"/>
      </w:numPr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4568C"/>
    <w:rPr>
      <w:rFonts w:asciiTheme="majorHAnsi" w:eastAsia="Times New Roman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2024-10-21T05:24:00Z</cp:lastPrinted>
  <dcterms:created xsi:type="dcterms:W3CDTF">2024-11-16T09:29:00Z</dcterms:created>
  <dcterms:modified xsi:type="dcterms:W3CDTF">2025-10-17T05:53:00Z</dcterms:modified>
</cp:coreProperties>
</file>