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A0A" w14:textId="77777777" w:rsidR="003E237B" w:rsidRPr="003E237B" w:rsidRDefault="003E237B" w:rsidP="003E237B">
      <w:pPr>
        <w:pStyle w:val="Titre1"/>
      </w:pPr>
      <w:r w:rsidRPr="003E237B">
        <w:t>Sécurité technique – Synthèse 2025 : menaces, résilience et technologies de défense</w:t>
      </w:r>
    </w:p>
    <w:p w14:paraId="1024D442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1. Paysage des menaces en 2025</w:t>
      </w:r>
    </w:p>
    <w:p w14:paraId="6FEFA5CA" w14:textId="77777777" w:rsidR="003E237B" w:rsidRPr="003E237B" w:rsidRDefault="003E237B" w:rsidP="003E237B">
      <w:r w:rsidRPr="003E237B">
        <w:rPr>
          <w:b/>
          <w:bCs/>
        </w:rPr>
        <w:t>Sources :</w:t>
      </w:r>
      <w:r w:rsidRPr="003E237B">
        <w:t xml:space="preserve"> ANSSI, Le Monde Informatique, IBM Security, 2025</w:t>
      </w:r>
    </w:p>
    <w:p w14:paraId="57B830F7" w14:textId="77777777" w:rsidR="003E237B" w:rsidRPr="003E237B" w:rsidRDefault="003E237B" w:rsidP="003E237B">
      <w:pPr>
        <w:numPr>
          <w:ilvl w:val="0"/>
          <w:numId w:val="20"/>
        </w:numPr>
      </w:pPr>
      <w:r w:rsidRPr="003E237B">
        <w:t xml:space="preserve">Les </w:t>
      </w:r>
      <w:r w:rsidRPr="003E237B">
        <w:rPr>
          <w:b/>
          <w:bCs/>
        </w:rPr>
        <w:t>cyberattaques étatiques et économiques</w:t>
      </w:r>
      <w:r w:rsidRPr="003E237B">
        <w:t xml:space="preserve"> progressent de 18 % sur un an, ciblant prioritairement les secteurs </w:t>
      </w:r>
      <w:r w:rsidRPr="003E237B">
        <w:rPr>
          <w:b/>
          <w:bCs/>
        </w:rPr>
        <w:t>énergie, défense, cloud et finance</w:t>
      </w:r>
      <w:r w:rsidRPr="003E237B">
        <w:t>.</w:t>
      </w:r>
    </w:p>
    <w:p w14:paraId="503B53DD" w14:textId="77777777" w:rsidR="003E237B" w:rsidRPr="003E237B" w:rsidRDefault="003E237B" w:rsidP="003E237B">
      <w:pPr>
        <w:numPr>
          <w:ilvl w:val="0"/>
          <w:numId w:val="20"/>
        </w:numPr>
      </w:pPr>
      <w:r w:rsidRPr="003E237B">
        <w:t xml:space="preserve">Le </w:t>
      </w:r>
      <w:r w:rsidRPr="003E237B">
        <w:rPr>
          <w:b/>
          <w:bCs/>
        </w:rPr>
        <w:t>phishing automatisé par IA</w:t>
      </w:r>
      <w:r w:rsidRPr="003E237B">
        <w:t xml:space="preserve"> devient l’un des premiers vecteurs d’intrusion (emails et voix générées par IA).</w:t>
      </w:r>
    </w:p>
    <w:p w14:paraId="0F0D20DA" w14:textId="77777777" w:rsidR="003E237B" w:rsidRPr="003E237B" w:rsidRDefault="003E237B" w:rsidP="003E237B">
      <w:pPr>
        <w:numPr>
          <w:ilvl w:val="0"/>
          <w:numId w:val="20"/>
        </w:numPr>
      </w:pPr>
      <w:r w:rsidRPr="003E237B">
        <w:t xml:space="preserve">Les </w:t>
      </w:r>
      <w:r w:rsidRPr="003E237B">
        <w:rPr>
          <w:b/>
          <w:bCs/>
        </w:rPr>
        <w:t>ransomwares hybrides</w:t>
      </w:r>
      <w:r w:rsidRPr="003E237B">
        <w:t xml:space="preserve"> combinent vol et chiffrement de données, s’accompagnant de chantage à la publication.</w:t>
      </w:r>
    </w:p>
    <w:p w14:paraId="05B1FD54" w14:textId="77777777" w:rsidR="003E237B" w:rsidRPr="003E237B" w:rsidRDefault="003E237B" w:rsidP="003E237B">
      <w:pPr>
        <w:numPr>
          <w:ilvl w:val="0"/>
          <w:numId w:val="20"/>
        </w:numPr>
      </w:pPr>
      <w:r w:rsidRPr="003E237B">
        <w:rPr>
          <w:b/>
          <w:bCs/>
        </w:rPr>
        <w:t>Attaques supply chain</w:t>
      </w:r>
      <w:r w:rsidRPr="003E237B">
        <w:t xml:space="preserve"> : multiplication des incidents via prestataires SaaS et API tierces.</w:t>
      </w:r>
    </w:p>
    <w:p w14:paraId="1850207D" w14:textId="77777777" w:rsidR="003E237B" w:rsidRPr="003E237B" w:rsidRDefault="003E237B" w:rsidP="003E237B">
      <w:pPr>
        <w:numPr>
          <w:ilvl w:val="0"/>
          <w:numId w:val="20"/>
        </w:numPr>
      </w:pPr>
      <w:r w:rsidRPr="003E237B">
        <w:t xml:space="preserve">Les </w:t>
      </w:r>
      <w:proofErr w:type="spellStart"/>
      <w:r w:rsidRPr="003E237B">
        <w:rPr>
          <w:b/>
          <w:bCs/>
        </w:rPr>
        <w:t>deepfakes</w:t>
      </w:r>
      <w:proofErr w:type="spellEnd"/>
      <w:r w:rsidRPr="003E237B">
        <w:t xml:space="preserve"> sont utilisés pour manipuler les authentifications biométriques et tromper les opérateurs humains.</w:t>
      </w:r>
    </w:p>
    <w:p w14:paraId="54FB0BE3" w14:textId="77777777" w:rsidR="003E237B" w:rsidRPr="003E237B" w:rsidRDefault="003E237B" w:rsidP="003E237B">
      <w:r w:rsidRPr="003E237B">
        <w:rPr>
          <w:b/>
          <w:bCs/>
        </w:rPr>
        <w:t>À retenir :</w:t>
      </w:r>
      <w:r w:rsidRPr="003E237B">
        <w:t xml:space="preserve"> 2025 marque la transition d’une cybersécurité “préventive” vers une </w:t>
      </w:r>
      <w:r w:rsidRPr="003E237B">
        <w:rPr>
          <w:b/>
          <w:bCs/>
        </w:rPr>
        <w:t>cybersécurité adaptative</w:t>
      </w:r>
      <w:r w:rsidRPr="003E237B">
        <w:t>, pilotée par l’IA et la détection comportementale (NDR/EDR).</w:t>
      </w:r>
    </w:p>
    <w:p w14:paraId="3E03F14F" w14:textId="77777777" w:rsidR="003E237B" w:rsidRPr="003E237B" w:rsidRDefault="003E237B" w:rsidP="003E237B">
      <w:r w:rsidRPr="003E237B">
        <w:pict w14:anchorId="61C7F807">
          <v:rect id="_x0000_i1093" style="width:0;height:1.5pt" o:hralign="center" o:hrstd="t" o:hr="t" fillcolor="#a0a0a0" stroked="f"/>
        </w:pict>
      </w:r>
    </w:p>
    <w:p w14:paraId="384D487B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2. Sécurité des systèmes d’information et souveraineté numérique</w:t>
      </w:r>
    </w:p>
    <w:p w14:paraId="07E255ED" w14:textId="77777777" w:rsidR="003E237B" w:rsidRPr="003E237B" w:rsidRDefault="003E237B" w:rsidP="003E237B">
      <w:r w:rsidRPr="003E237B">
        <w:rPr>
          <w:b/>
          <w:bCs/>
        </w:rPr>
        <w:t>Sources :</w:t>
      </w:r>
      <w:r w:rsidRPr="003E237B">
        <w:t xml:space="preserve"> Le Monde Informatique, ANSSI, Sénat, 2025</w:t>
      </w:r>
    </w:p>
    <w:p w14:paraId="11072444" w14:textId="77777777" w:rsidR="003E237B" w:rsidRPr="003E237B" w:rsidRDefault="003E237B" w:rsidP="003E237B">
      <w:pPr>
        <w:numPr>
          <w:ilvl w:val="0"/>
          <w:numId w:val="21"/>
        </w:numPr>
      </w:pPr>
      <w:r w:rsidRPr="003E237B">
        <w:t xml:space="preserve">La </w:t>
      </w:r>
      <w:r w:rsidRPr="003E237B">
        <w:rPr>
          <w:b/>
          <w:bCs/>
        </w:rPr>
        <w:t>Maif</w:t>
      </w:r>
      <w:r w:rsidRPr="003E237B">
        <w:t xml:space="preserve"> illustre la stratégie de </w:t>
      </w:r>
      <w:proofErr w:type="spellStart"/>
      <w:r w:rsidRPr="003E237B">
        <w:rPr>
          <w:b/>
          <w:bCs/>
        </w:rPr>
        <w:t>réinternalisation</w:t>
      </w:r>
      <w:proofErr w:type="spellEnd"/>
      <w:r w:rsidRPr="003E237B">
        <w:rPr>
          <w:b/>
          <w:bCs/>
        </w:rPr>
        <w:t xml:space="preserve"> du SOC</w:t>
      </w:r>
      <w:r w:rsidRPr="003E237B">
        <w:t xml:space="preserve"> (Security Operations Center) : adoption d’un SOAR et d’un NDR pour automatiser la réponse aux incidents.</w:t>
      </w:r>
    </w:p>
    <w:p w14:paraId="5A06FCE6" w14:textId="77777777" w:rsidR="003E237B" w:rsidRPr="003E237B" w:rsidRDefault="003E237B" w:rsidP="003E237B">
      <w:pPr>
        <w:numPr>
          <w:ilvl w:val="0"/>
          <w:numId w:val="21"/>
        </w:numPr>
      </w:pPr>
      <w:r w:rsidRPr="003E237B">
        <w:rPr>
          <w:b/>
          <w:bCs/>
        </w:rPr>
        <w:t>Free Pro</w:t>
      </w:r>
      <w:r w:rsidRPr="003E237B">
        <w:t xml:space="preserve"> et </w:t>
      </w:r>
      <w:r w:rsidRPr="003E237B">
        <w:rPr>
          <w:b/>
          <w:bCs/>
        </w:rPr>
        <w:t>OVHcloud</w:t>
      </w:r>
      <w:r w:rsidRPr="003E237B">
        <w:t xml:space="preserve"> développent des solutions de </w:t>
      </w:r>
      <w:r w:rsidRPr="003E237B">
        <w:rPr>
          <w:b/>
          <w:bCs/>
        </w:rPr>
        <w:t>cybersécurité souveraines</w:t>
      </w:r>
      <w:r w:rsidRPr="003E237B">
        <w:t>, intégrant IA défensive et supervision en temps réel.</w:t>
      </w:r>
    </w:p>
    <w:p w14:paraId="5920E63C" w14:textId="77777777" w:rsidR="003E237B" w:rsidRPr="003E237B" w:rsidRDefault="003E237B" w:rsidP="003E237B">
      <w:pPr>
        <w:numPr>
          <w:ilvl w:val="0"/>
          <w:numId w:val="21"/>
        </w:numPr>
      </w:pPr>
      <w:r w:rsidRPr="003E237B">
        <w:t>L’</w:t>
      </w:r>
      <w:r w:rsidRPr="003E237B">
        <w:rPr>
          <w:b/>
          <w:bCs/>
        </w:rPr>
        <w:t>ANSSI</w:t>
      </w:r>
      <w:r w:rsidRPr="003E237B">
        <w:t xml:space="preserve"> renforce les labels de certification (SecNumCloud, visas de sécurité quantique).</w:t>
      </w:r>
    </w:p>
    <w:p w14:paraId="5E2D6E1A" w14:textId="77777777" w:rsidR="003E237B" w:rsidRPr="003E237B" w:rsidRDefault="003E237B" w:rsidP="003E237B">
      <w:pPr>
        <w:numPr>
          <w:ilvl w:val="0"/>
          <w:numId w:val="21"/>
        </w:numPr>
      </w:pPr>
      <w:r w:rsidRPr="003E237B">
        <w:t xml:space="preserve">Les </w:t>
      </w:r>
      <w:r w:rsidRPr="003E237B">
        <w:rPr>
          <w:b/>
          <w:bCs/>
        </w:rPr>
        <w:t>institutions publiques</w:t>
      </w:r>
      <w:r w:rsidRPr="003E237B">
        <w:t xml:space="preserve"> (UE, OTAN, CCI) subissent des attaques ciblées, motivant la mutualisation des infrastructures de sécurité.</w:t>
      </w:r>
    </w:p>
    <w:p w14:paraId="0FE5C147" w14:textId="77777777" w:rsidR="003E237B" w:rsidRPr="003E237B" w:rsidRDefault="003E237B" w:rsidP="003E237B">
      <w:r w:rsidRPr="003E237B">
        <w:rPr>
          <w:b/>
          <w:bCs/>
        </w:rPr>
        <w:t>À retenir :</w:t>
      </w:r>
      <w:r w:rsidRPr="003E237B">
        <w:t xml:space="preserve"> la </w:t>
      </w:r>
      <w:r w:rsidRPr="003E237B">
        <w:rPr>
          <w:b/>
          <w:bCs/>
        </w:rPr>
        <w:t>souveraineté technique</w:t>
      </w:r>
      <w:r w:rsidRPr="003E237B">
        <w:t xml:space="preserve"> devient un enjeu central de la résilience nationale : supervision locale, stockage en Europe et code source auditable.</w:t>
      </w:r>
    </w:p>
    <w:p w14:paraId="7C346E7F" w14:textId="77777777" w:rsidR="003E237B" w:rsidRPr="003E237B" w:rsidRDefault="003E237B" w:rsidP="003E237B">
      <w:r w:rsidRPr="003E237B">
        <w:pict w14:anchorId="4F8308DF">
          <v:rect id="_x0000_i1094" style="width:0;height:1.5pt" o:hralign="center" o:hrstd="t" o:hr="t" fillcolor="#a0a0a0" stroked="f"/>
        </w:pict>
      </w:r>
    </w:p>
    <w:p w14:paraId="027FF6B3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3. Risques liés à l’IA et à l’automatisation</w:t>
      </w:r>
    </w:p>
    <w:p w14:paraId="0227EE8C" w14:textId="77777777" w:rsidR="003E237B" w:rsidRPr="003E237B" w:rsidRDefault="003E237B" w:rsidP="003E237B">
      <w:r w:rsidRPr="003E237B">
        <w:rPr>
          <w:b/>
          <w:bCs/>
        </w:rPr>
        <w:t>Sources :</w:t>
      </w:r>
      <w:r w:rsidRPr="003E237B">
        <w:t xml:space="preserve"> Le Monde Informatique, IBM Security, 2025</w:t>
      </w:r>
    </w:p>
    <w:p w14:paraId="50F72935" w14:textId="77777777" w:rsidR="003E237B" w:rsidRPr="003E237B" w:rsidRDefault="003E237B" w:rsidP="003E237B">
      <w:pPr>
        <w:numPr>
          <w:ilvl w:val="0"/>
          <w:numId w:val="22"/>
        </w:numPr>
      </w:pPr>
      <w:r w:rsidRPr="003E237B">
        <w:t xml:space="preserve">Les </w:t>
      </w:r>
      <w:r w:rsidRPr="003E237B">
        <w:rPr>
          <w:b/>
          <w:bCs/>
        </w:rPr>
        <w:t>agents IA intégrés</w:t>
      </w:r>
      <w:r w:rsidRPr="003E237B">
        <w:t xml:space="preserve"> aux CRM (ex. Salesforce </w:t>
      </w:r>
      <w:proofErr w:type="spellStart"/>
      <w:r w:rsidRPr="003E237B">
        <w:t>Agentforce</w:t>
      </w:r>
      <w:proofErr w:type="spellEnd"/>
      <w:r w:rsidRPr="003E237B">
        <w:t xml:space="preserve">) exposent de nouveaux risques : </w:t>
      </w:r>
      <w:r w:rsidRPr="003E237B">
        <w:rPr>
          <w:b/>
          <w:bCs/>
        </w:rPr>
        <w:t>injections de prompt</w:t>
      </w:r>
      <w:r w:rsidRPr="003E237B">
        <w:t xml:space="preserve"> et </w:t>
      </w:r>
      <w:r w:rsidRPr="003E237B">
        <w:rPr>
          <w:b/>
          <w:bCs/>
        </w:rPr>
        <w:t>exfiltration de données</w:t>
      </w:r>
      <w:r w:rsidRPr="003E237B">
        <w:t>.</w:t>
      </w:r>
    </w:p>
    <w:p w14:paraId="34F4B782" w14:textId="77777777" w:rsidR="003E237B" w:rsidRPr="003E237B" w:rsidRDefault="003E237B" w:rsidP="003E237B">
      <w:pPr>
        <w:numPr>
          <w:ilvl w:val="0"/>
          <w:numId w:val="22"/>
        </w:numPr>
      </w:pPr>
      <w:r w:rsidRPr="003E237B">
        <w:t xml:space="preserve">Les </w:t>
      </w:r>
      <w:r w:rsidRPr="003E237B">
        <w:rPr>
          <w:b/>
          <w:bCs/>
        </w:rPr>
        <w:t>systèmes de défense basés sur l’IA</w:t>
      </w:r>
      <w:r w:rsidRPr="003E237B">
        <w:t xml:space="preserve"> (HPE, Amiral Technologies) analysent désormais les signaux faibles pour prédire les anomalies réseau.</w:t>
      </w:r>
    </w:p>
    <w:p w14:paraId="2B30BF95" w14:textId="77777777" w:rsidR="003E237B" w:rsidRPr="003E237B" w:rsidRDefault="003E237B" w:rsidP="003E237B">
      <w:pPr>
        <w:numPr>
          <w:ilvl w:val="0"/>
          <w:numId w:val="22"/>
        </w:numPr>
      </w:pPr>
      <w:r w:rsidRPr="003E237B">
        <w:t xml:space="preserve">Les attaques exploitent les </w:t>
      </w:r>
      <w:r w:rsidRPr="003E237B">
        <w:rPr>
          <w:b/>
          <w:bCs/>
        </w:rPr>
        <w:t>copilotes mal sécurisés</w:t>
      </w:r>
      <w:r w:rsidRPr="003E237B">
        <w:t xml:space="preserve"> pour contourner les contrôles internes.</w:t>
      </w:r>
    </w:p>
    <w:p w14:paraId="08328A4E" w14:textId="77777777" w:rsidR="003E237B" w:rsidRPr="003E237B" w:rsidRDefault="003E237B" w:rsidP="003E237B">
      <w:pPr>
        <w:numPr>
          <w:ilvl w:val="0"/>
          <w:numId w:val="22"/>
        </w:numPr>
      </w:pPr>
      <w:r w:rsidRPr="003E237B">
        <w:t>L’</w:t>
      </w:r>
      <w:r w:rsidRPr="003E237B">
        <w:rPr>
          <w:b/>
          <w:bCs/>
        </w:rPr>
        <w:t>IA défensive</w:t>
      </w:r>
      <w:r w:rsidRPr="003E237B">
        <w:t xml:space="preserve"> gagne du terrain : corrélation automatisée des alertes, réduction du temps de détection moyen de 30 %.</w:t>
      </w:r>
    </w:p>
    <w:p w14:paraId="15F07747" w14:textId="77777777" w:rsidR="003E237B" w:rsidRPr="003E237B" w:rsidRDefault="003E237B" w:rsidP="003E237B">
      <w:r w:rsidRPr="003E237B">
        <w:rPr>
          <w:b/>
          <w:bCs/>
        </w:rPr>
        <w:t>À retenir :</w:t>
      </w:r>
      <w:r w:rsidRPr="003E237B">
        <w:t xml:space="preserve"> l’IA est à la fois </w:t>
      </w:r>
      <w:r w:rsidRPr="003E237B">
        <w:rPr>
          <w:b/>
          <w:bCs/>
        </w:rPr>
        <w:t>une menace et une défense</w:t>
      </w:r>
      <w:r w:rsidRPr="003E237B">
        <w:t>. La gouvernance des modèles (</w:t>
      </w:r>
      <w:proofErr w:type="spellStart"/>
      <w:r w:rsidRPr="003E237B">
        <w:t>MLOps</w:t>
      </w:r>
      <w:proofErr w:type="spellEnd"/>
      <w:r w:rsidRPr="003E237B">
        <w:t>/</w:t>
      </w:r>
      <w:proofErr w:type="spellStart"/>
      <w:r w:rsidRPr="003E237B">
        <w:t>LLMOps</w:t>
      </w:r>
      <w:proofErr w:type="spellEnd"/>
      <w:r w:rsidRPr="003E237B">
        <w:t>) devient une priorité opérationnelle.</w:t>
      </w:r>
    </w:p>
    <w:p w14:paraId="451CA753" w14:textId="77777777" w:rsidR="003E237B" w:rsidRPr="003E237B" w:rsidRDefault="003E237B" w:rsidP="003E237B">
      <w:r w:rsidRPr="003E237B">
        <w:lastRenderedPageBreak/>
        <w:pict w14:anchorId="70F8352A">
          <v:rect id="_x0000_i1095" style="width:0;height:1.5pt" o:hralign="center" o:hrstd="t" o:hr="t" fillcolor="#a0a0a0" stroked="f"/>
        </w:pict>
      </w:r>
    </w:p>
    <w:p w14:paraId="774BEE65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4. Sécurité post-quantique : l’urgence de la migration</w:t>
      </w:r>
    </w:p>
    <w:p w14:paraId="37059154" w14:textId="77777777" w:rsidR="003E237B" w:rsidRPr="003E237B" w:rsidRDefault="003E237B" w:rsidP="003E237B">
      <w:r w:rsidRPr="003E237B">
        <w:rPr>
          <w:b/>
          <w:bCs/>
        </w:rPr>
        <w:t>Sources :</w:t>
      </w:r>
      <w:r w:rsidRPr="003E237B">
        <w:t xml:space="preserve"> ANSSI, IBM, Le Monde Informatique, 2025</w:t>
      </w:r>
    </w:p>
    <w:p w14:paraId="6BA50813" w14:textId="77777777" w:rsidR="003E237B" w:rsidRPr="003E237B" w:rsidRDefault="003E237B" w:rsidP="003E237B">
      <w:pPr>
        <w:numPr>
          <w:ilvl w:val="0"/>
          <w:numId w:val="23"/>
        </w:numPr>
      </w:pPr>
      <w:r w:rsidRPr="003E237B">
        <w:t>L’</w:t>
      </w:r>
      <w:r w:rsidRPr="003E237B">
        <w:rPr>
          <w:b/>
          <w:bCs/>
        </w:rPr>
        <w:t>ANSSI</w:t>
      </w:r>
      <w:r w:rsidRPr="003E237B">
        <w:t xml:space="preserve"> a publié sa </w:t>
      </w:r>
      <w:r w:rsidRPr="003E237B">
        <w:rPr>
          <w:b/>
          <w:bCs/>
        </w:rPr>
        <w:t>feuille de route post-quantique</w:t>
      </w:r>
      <w:r w:rsidRPr="003E237B">
        <w:t xml:space="preserve"> : inventaire cryptographique en 2025, déploiement pilote d’ici 2027, adoption complète visée en 2030.</w:t>
      </w:r>
    </w:p>
    <w:p w14:paraId="3533A276" w14:textId="77777777" w:rsidR="003E237B" w:rsidRPr="003E237B" w:rsidRDefault="003E237B" w:rsidP="003E237B">
      <w:pPr>
        <w:numPr>
          <w:ilvl w:val="0"/>
          <w:numId w:val="23"/>
        </w:numPr>
      </w:pPr>
      <w:r w:rsidRPr="003E237B">
        <w:t>Les entreprises françaises sont encore peu préparées : moins de 15 % ont commencé leur migration.</w:t>
      </w:r>
    </w:p>
    <w:p w14:paraId="18EC4F87" w14:textId="77777777" w:rsidR="003E237B" w:rsidRPr="003E237B" w:rsidRDefault="003E237B" w:rsidP="003E237B">
      <w:pPr>
        <w:numPr>
          <w:ilvl w:val="0"/>
          <w:numId w:val="23"/>
        </w:numPr>
      </w:pPr>
      <w:r w:rsidRPr="003E237B">
        <w:t xml:space="preserve">Les </w:t>
      </w:r>
      <w:r w:rsidRPr="003E237B">
        <w:rPr>
          <w:b/>
          <w:bCs/>
        </w:rPr>
        <w:t>secteurs bancaire, télécom et santé</w:t>
      </w:r>
      <w:r w:rsidRPr="003E237B">
        <w:t xml:space="preserve"> sont les plus exposés (chiffrement RSA vulnérable à terme).</w:t>
      </w:r>
    </w:p>
    <w:p w14:paraId="3CB3AC89" w14:textId="77777777" w:rsidR="003E237B" w:rsidRPr="003E237B" w:rsidRDefault="003E237B" w:rsidP="003E237B">
      <w:pPr>
        <w:numPr>
          <w:ilvl w:val="0"/>
          <w:numId w:val="23"/>
        </w:numPr>
      </w:pPr>
      <w:r w:rsidRPr="003E237B">
        <w:t xml:space="preserve">Les premiers produits </w:t>
      </w:r>
      <w:r w:rsidRPr="003E237B">
        <w:rPr>
          <w:b/>
          <w:bCs/>
        </w:rPr>
        <w:t>certifiés post-quantiques</w:t>
      </w:r>
      <w:r w:rsidRPr="003E237B">
        <w:t xml:space="preserve"> (Thales, Samsung) ont reçu des </w:t>
      </w:r>
      <w:r w:rsidRPr="003E237B">
        <w:rPr>
          <w:b/>
          <w:bCs/>
        </w:rPr>
        <w:t>visas de sécurité</w:t>
      </w:r>
      <w:r w:rsidRPr="003E237B">
        <w:t xml:space="preserve"> français.</w:t>
      </w:r>
    </w:p>
    <w:p w14:paraId="53EEC9FA" w14:textId="77777777" w:rsidR="003E237B" w:rsidRPr="003E237B" w:rsidRDefault="003E237B" w:rsidP="003E237B">
      <w:r w:rsidRPr="003E237B">
        <w:rPr>
          <w:b/>
          <w:bCs/>
        </w:rPr>
        <w:t>À retenir :</w:t>
      </w:r>
      <w:r w:rsidRPr="003E237B">
        <w:t xml:space="preserve"> lancer dès 2025 l’</w:t>
      </w:r>
      <w:r w:rsidRPr="003E237B">
        <w:rPr>
          <w:b/>
          <w:bCs/>
        </w:rPr>
        <w:t>inventaire des dépendances cryptographiques</w:t>
      </w:r>
      <w:r w:rsidRPr="003E237B">
        <w:t>, hiérarchiser les priorités et intégrer les exigences PQC dans les appels d’offres.</w:t>
      </w:r>
    </w:p>
    <w:p w14:paraId="0AC75D3B" w14:textId="77777777" w:rsidR="003E237B" w:rsidRPr="003E237B" w:rsidRDefault="003E237B" w:rsidP="003E237B">
      <w:r w:rsidRPr="003E237B">
        <w:pict w14:anchorId="7D1C8A82">
          <v:rect id="_x0000_i1096" style="width:0;height:1.5pt" o:hralign="center" o:hrstd="t" o:hr="t" fillcolor="#a0a0a0" stroked="f"/>
        </w:pict>
      </w:r>
    </w:p>
    <w:p w14:paraId="1D505902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5. Incidents majeurs et tendances observées</w:t>
      </w:r>
    </w:p>
    <w:p w14:paraId="2E735A86" w14:textId="77777777" w:rsidR="003E237B" w:rsidRPr="003E237B" w:rsidRDefault="003E237B" w:rsidP="003E237B">
      <w:r w:rsidRPr="003E237B">
        <w:rPr>
          <w:b/>
          <w:bCs/>
        </w:rPr>
        <w:t>Sources :</w:t>
      </w:r>
      <w:r w:rsidRPr="003E237B">
        <w:t xml:space="preserve"> Le Monde Informatique, Usine Digitale, 2025</w:t>
      </w:r>
    </w:p>
    <w:p w14:paraId="1A649462" w14:textId="77777777" w:rsidR="003E237B" w:rsidRPr="003E237B" w:rsidRDefault="003E237B" w:rsidP="003E237B">
      <w:pPr>
        <w:numPr>
          <w:ilvl w:val="0"/>
          <w:numId w:val="24"/>
        </w:numPr>
      </w:pPr>
      <w:r w:rsidRPr="003E237B">
        <w:rPr>
          <w:b/>
          <w:bCs/>
        </w:rPr>
        <w:t>Bouygues Telecom</w:t>
      </w:r>
      <w:r w:rsidRPr="003E237B">
        <w:t xml:space="preserve"> (6,4 M comptes exposés) et </w:t>
      </w:r>
      <w:r w:rsidRPr="003E237B">
        <w:rPr>
          <w:b/>
          <w:bCs/>
        </w:rPr>
        <w:t>Auchan</w:t>
      </w:r>
      <w:r w:rsidRPr="003E237B">
        <w:t xml:space="preserve"> (100 000 clients affectés) ont subi des fuites de données notifiées à la CNIL.</w:t>
      </w:r>
    </w:p>
    <w:p w14:paraId="1F9D34F1" w14:textId="77777777" w:rsidR="003E237B" w:rsidRPr="003E237B" w:rsidRDefault="003E237B" w:rsidP="003E237B">
      <w:pPr>
        <w:numPr>
          <w:ilvl w:val="0"/>
          <w:numId w:val="24"/>
        </w:numPr>
      </w:pPr>
      <w:r w:rsidRPr="003E237B">
        <w:rPr>
          <w:b/>
          <w:bCs/>
        </w:rPr>
        <w:t>Cour pénale internationale (CPI)</w:t>
      </w:r>
      <w:r w:rsidRPr="003E237B">
        <w:t xml:space="preserve"> victime d’une seconde cyberattaque, possiblement étatique.</w:t>
      </w:r>
    </w:p>
    <w:p w14:paraId="6D04C402" w14:textId="77777777" w:rsidR="003E237B" w:rsidRPr="003E237B" w:rsidRDefault="003E237B" w:rsidP="003E237B">
      <w:pPr>
        <w:numPr>
          <w:ilvl w:val="0"/>
          <w:numId w:val="24"/>
        </w:numPr>
      </w:pPr>
      <w:r w:rsidRPr="003E237B">
        <w:rPr>
          <w:b/>
          <w:bCs/>
        </w:rPr>
        <w:t>Naval Group</w:t>
      </w:r>
      <w:r w:rsidRPr="003E237B">
        <w:t xml:space="preserve"> : vol de 1 To de données classifiées, compromission supply chain soupçonnée.</w:t>
      </w:r>
    </w:p>
    <w:p w14:paraId="6AE08559" w14:textId="77777777" w:rsidR="003E237B" w:rsidRPr="003E237B" w:rsidRDefault="003E237B" w:rsidP="003E237B">
      <w:pPr>
        <w:numPr>
          <w:ilvl w:val="0"/>
          <w:numId w:val="24"/>
        </w:numPr>
      </w:pPr>
      <w:r w:rsidRPr="003E237B">
        <w:rPr>
          <w:b/>
          <w:bCs/>
        </w:rPr>
        <w:t>Picard</w:t>
      </w:r>
      <w:r w:rsidRPr="003E237B">
        <w:t xml:space="preserve"> et </w:t>
      </w:r>
      <w:r w:rsidRPr="003E237B">
        <w:rPr>
          <w:b/>
          <w:bCs/>
        </w:rPr>
        <w:t>Boulanger</w:t>
      </w:r>
      <w:r w:rsidRPr="003E237B">
        <w:t xml:space="preserve"> : attaques de </w:t>
      </w:r>
      <w:proofErr w:type="spellStart"/>
      <w:r w:rsidRPr="003E237B">
        <w:t>credential</w:t>
      </w:r>
      <w:proofErr w:type="spellEnd"/>
      <w:r w:rsidRPr="003E237B">
        <w:t xml:space="preserve"> </w:t>
      </w:r>
      <w:proofErr w:type="spellStart"/>
      <w:r w:rsidRPr="003E237B">
        <w:t>stuffing</w:t>
      </w:r>
      <w:proofErr w:type="spellEnd"/>
      <w:r w:rsidRPr="003E237B">
        <w:t xml:space="preserve"> et bases revendues sur le </w:t>
      </w:r>
      <w:proofErr w:type="spellStart"/>
      <w:r w:rsidRPr="003E237B">
        <w:t>dark</w:t>
      </w:r>
      <w:proofErr w:type="spellEnd"/>
      <w:r w:rsidRPr="003E237B">
        <w:t xml:space="preserve"> web.</w:t>
      </w:r>
    </w:p>
    <w:p w14:paraId="426894A7" w14:textId="77777777" w:rsidR="003E237B" w:rsidRPr="003E237B" w:rsidRDefault="003E237B" w:rsidP="003E237B">
      <w:pPr>
        <w:numPr>
          <w:ilvl w:val="0"/>
          <w:numId w:val="24"/>
        </w:numPr>
      </w:pPr>
      <w:proofErr w:type="spellStart"/>
      <w:r w:rsidRPr="003E237B">
        <w:rPr>
          <w:b/>
          <w:bCs/>
        </w:rPr>
        <w:t>Mic</w:t>
      </w:r>
      <w:proofErr w:type="spellEnd"/>
      <w:r w:rsidRPr="003E237B">
        <w:rPr>
          <w:b/>
          <w:bCs/>
        </w:rPr>
        <w:t>-e-Mouse</w:t>
      </w:r>
      <w:r w:rsidRPr="003E237B">
        <w:t xml:space="preserve"> : malware inédit ciblant les environnements industriels et IoT, exploitant les réseaux OT.</w:t>
      </w:r>
    </w:p>
    <w:p w14:paraId="411BA51B" w14:textId="77777777" w:rsidR="003E237B" w:rsidRPr="003E237B" w:rsidRDefault="003E237B" w:rsidP="003E237B">
      <w:r w:rsidRPr="003E237B">
        <w:rPr>
          <w:b/>
          <w:bCs/>
        </w:rPr>
        <w:t>À retenir :</w:t>
      </w:r>
      <w:r w:rsidRPr="003E237B">
        <w:t xml:space="preserve"> la </w:t>
      </w:r>
      <w:r w:rsidRPr="003E237B">
        <w:rPr>
          <w:b/>
          <w:bCs/>
        </w:rPr>
        <w:t>cybermenace s’industrialise</w:t>
      </w:r>
      <w:r w:rsidRPr="003E237B">
        <w:t>, alliant espionnage, sabotage et vol de données personnelles à grande échelle.</w:t>
      </w:r>
    </w:p>
    <w:p w14:paraId="5C99DFDD" w14:textId="77777777" w:rsidR="003E237B" w:rsidRPr="003E237B" w:rsidRDefault="003E237B" w:rsidP="003E237B">
      <w:r w:rsidRPr="003E237B">
        <w:pict w14:anchorId="4AFA9FFA">
          <v:rect id="_x0000_i1097" style="width:0;height:1.5pt" o:hralign="center" o:hrstd="t" o:hr="t" fillcolor="#a0a0a0" stroked="f"/>
        </w:pict>
      </w:r>
    </w:p>
    <w:p w14:paraId="162E0013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6. Mesures prioritaires et bonnes pratiques 2025</w:t>
      </w:r>
    </w:p>
    <w:p w14:paraId="7DC583C2" w14:textId="77777777" w:rsidR="003E237B" w:rsidRPr="003E237B" w:rsidRDefault="003E237B" w:rsidP="003E237B">
      <w:pPr>
        <w:numPr>
          <w:ilvl w:val="0"/>
          <w:numId w:val="25"/>
        </w:numPr>
      </w:pPr>
      <w:r w:rsidRPr="003E237B">
        <w:rPr>
          <w:b/>
          <w:bCs/>
        </w:rPr>
        <w:t>Renforcer l’authentification</w:t>
      </w:r>
      <w:r w:rsidRPr="003E237B">
        <w:t xml:space="preserve"> (MFA systématique, rotation des secrets, limitation des comptes privilégiés).</w:t>
      </w:r>
    </w:p>
    <w:p w14:paraId="1D5CA5C9" w14:textId="77777777" w:rsidR="003E237B" w:rsidRPr="003E237B" w:rsidRDefault="003E237B" w:rsidP="003E237B">
      <w:pPr>
        <w:numPr>
          <w:ilvl w:val="0"/>
          <w:numId w:val="25"/>
        </w:numPr>
      </w:pPr>
      <w:r w:rsidRPr="003E237B">
        <w:rPr>
          <w:b/>
          <w:bCs/>
        </w:rPr>
        <w:t>Segmenter les réseaux</w:t>
      </w:r>
      <w:r w:rsidRPr="003E237B">
        <w:t xml:space="preserve"> et isoler les environnements de production/administration.</w:t>
      </w:r>
    </w:p>
    <w:p w14:paraId="0650D0B0" w14:textId="77777777" w:rsidR="003E237B" w:rsidRPr="003E237B" w:rsidRDefault="003E237B" w:rsidP="003E237B">
      <w:pPr>
        <w:numPr>
          <w:ilvl w:val="0"/>
          <w:numId w:val="25"/>
        </w:numPr>
      </w:pPr>
      <w:r w:rsidRPr="003E237B">
        <w:rPr>
          <w:b/>
          <w:bCs/>
        </w:rPr>
        <w:t>Superviser en continu</w:t>
      </w:r>
      <w:r w:rsidRPr="003E237B">
        <w:t xml:space="preserve"> (SIEM + SOAR + IA comportementale).</w:t>
      </w:r>
    </w:p>
    <w:p w14:paraId="65629A0C" w14:textId="77777777" w:rsidR="003E237B" w:rsidRPr="003E237B" w:rsidRDefault="003E237B" w:rsidP="003E237B">
      <w:pPr>
        <w:numPr>
          <w:ilvl w:val="0"/>
          <w:numId w:val="25"/>
        </w:numPr>
      </w:pPr>
      <w:r w:rsidRPr="003E237B">
        <w:rPr>
          <w:b/>
          <w:bCs/>
        </w:rPr>
        <w:t>Sauvegarder et tester la restauration</w:t>
      </w:r>
      <w:r w:rsidRPr="003E237B">
        <w:t xml:space="preserve"> (air gap + réplication </w:t>
      </w:r>
      <w:proofErr w:type="spellStart"/>
      <w:r w:rsidRPr="003E237B">
        <w:t>multi-cloud</w:t>
      </w:r>
      <w:proofErr w:type="spellEnd"/>
      <w:r w:rsidRPr="003E237B">
        <w:t>).</w:t>
      </w:r>
    </w:p>
    <w:p w14:paraId="12BC9B59" w14:textId="77777777" w:rsidR="003E237B" w:rsidRPr="003E237B" w:rsidRDefault="003E237B" w:rsidP="003E237B">
      <w:pPr>
        <w:numPr>
          <w:ilvl w:val="0"/>
          <w:numId w:val="25"/>
        </w:numPr>
      </w:pPr>
      <w:r w:rsidRPr="003E237B">
        <w:rPr>
          <w:b/>
          <w:bCs/>
        </w:rPr>
        <w:t>Former et simuler</w:t>
      </w:r>
      <w:r w:rsidRPr="003E237B">
        <w:t xml:space="preserve"> : exercices de crise, tests de phishing, sensibilisation post-quantique.</w:t>
      </w:r>
    </w:p>
    <w:p w14:paraId="68A068C4" w14:textId="77777777" w:rsidR="003E237B" w:rsidRPr="003E237B" w:rsidRDefault="003E237B" w:rsidP="003E237B">
      <w:pPr>
        <w:numPr>
          <w:ilvl w:val="0"/>
          <w:numId w:val="25"/>
        </w:numPr>
      </w:pPr>
      <w:r w:rsidRPr="003E237B">
        <w:rPr>
          <w:b/>
          <w:bCs/>
        </w:rPr>
        <w:t>Documenter et journaliser</w:t>
      </w:r>
      <w:r w:rsidRPr="003E237B">
        <w:t xml:space="preserve"> pour la conformité RGPD / AI </w:t>
      </w:r>
      <w:proofErr w:type="spellStart"/>
      <w:r w:rsidRPr="003E237B">
        <w:t>Act</w:t>
      </w:r>
      <w:proofErr w:type="spellEnd"/>
      <w:r w:rsidRPr="003E237B">
        <w:t xml:space="preserve"> / Data </w:t>
      </w:r>
      <w:proofErr w:type="spellStart"/>
      <w:r w:rsidRPr="003E237B">
        <w:t>Act</w:t>
      </w:r>
      <w:proofErr w:type="spellEnd"/>
      <w:r w:rsidRPr="003E237B">
        <w:t>.</w:t>
      </w:r>
    </w:p>
    <w:p w14:paraId="6CE01352" w14:textId="77777777" w:rsidR="003E237B" w:rsidRPr="003E237B" w:rsidRDefault="003E237B" w:rsidP="003E237B">
      <w:r w:rsidRPr="003E237B">
        <w:rPr>
          <w:b/>
          <w:bCs/>
        </w:rPr>
        <w:t>À retenir :</w:t>
      </w:r>
      <w:r w:rsidRPr="003E237B">
        <w:t xml:space="preserve"> la sécurité technique 2025 repose sur trois piliers : </w:t>
      </w:r>
      <w:r w:rsidRPr="003E237B">
        <w:rPr>
          <w:b/>
          <w:bCs/>
        </w:rPr>
        <w:t xml:space="preserve">automatisation, anticipation et </w:t>
      </w:r>
      <w:proofErr w:type="spellStart"/>
      <w:r w:rsidRPr="003E237B">
        <w:rPr>
          <w:b/>
          <w:bCs/>
        </w:rPr>
        <w:t>auditabilité</w:t>
      </w:r>
      <w:proofErr w:type="spellEnd"/>
      <w:r w:rsidRPr="003E237B">
        <w:t>.</w:t>
      </w:r>
    </w:p>
    <w:p w14:paraId="6B52351C" w14:textId="77777777" w:rsidR="003E237B" w:rsidRPr="003E237B" w:rsidRDefault="003E237B" w:rsidP="003E237B">
      <w:r w:rsidRPr="003E237B">
        <w:pict w14:anchorId="0BD81250">
          <v:rect id="_x0000_i1098" style="width:0;height:1.5pt" o:hralign="center" o:hrstd="t" o:hr="t" fillcolor="#a0a0a0" stroked="f"/>
        </w:pict>
      </w:r>
    </w:p>
    <w:p w14:paraId="4BCC6AFB" w14:textId="77777777" w:rsidR="003E237B" w:rsidRPr="003E237B" w:rsidRDefault="003E237B" w:rsidP="003E237B">
      <w:pPr>
        <w:ind w:left="360"/>
        <w:rPr>
          <w:b/>
          <w:bCs/>
        </w:rPr>
      </w:pPr>
      <w:r w:rsidRPr="003E237B">
        <w:rPr>
          <w:b/>
          <w:bCs/>
        </w:rPr>
        <w:t>7. Feuille de route 2025–2027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8"/>
        <w:gridCol w:w="5130"/>
        <w:gridCol w:w="1309"/>
      </w:tblGrid>
      <w:tr w:rsidR="003E237B" w:rsidRPr="003E237B" w14:paraId="7D9DF6B0" w14:textId="77777777" w:rsidTr="003E237B">
        <w:tc>
          <w:tcPr>
            <w:tcW w:w="0" w:type="auto"/>
            <w:hideMark/>
          </w:tcPr>
          <w:p w14:paraId="7C310A1A" w14:textId="77777777" w:rsidR="003E237B" w:rsidRPr="003E237B" w:rsidRDefault="003E237B" w:rsidP="003E237B">
            <w:pPr>
              <w:rPr>
                <w:b/>
                <w:bCs/>
              </w:rPr>
            </w:pPr>
            <w:r w:rsidRPr="003E237B">
              <w:rPr>
                <w:b/>
                <w:bCs/>
              </w:rPr>
              <w:t>Axe stratégique</w:t>
            </w:r>
          </w:p>
        </w:tc>
        <w:tc>
          <w:tcPr>
            <w:tcW w:w="0" w:type="auto"/>
            <w:hideMark/>
          </w:tcPr>
          <w:p w14:paraId="005D8F5F" w14:textId="77777777" w:rsidR="003E237B" w:rsidRPr="003E237B" w:rsidRDefault="003E237B" w:rsidP="003E237B">
            <w:pPr>
              <w:rPr>
                <w:b/>
                <w:bCs/>
              </w:rPr>
            </w:pPr>
            <w:r w:rsidRPr="003E237B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051CFCF" w14:textId="77777777" w:rsidR="003E237B" w:rsidRPr="003E237B" w:rsidRDefault="003E237B" w:rsidP="003E237B">
            <w:pPr>
              <w:rPr>
                <w:b/>
                <w:bCs/>
              </w:rPr>
            </w:pPr>
            <w:r w:rsidRPr="003E237B">
              <w:rPr>
                <w:b/>
                <w:bCs/>
              </w:rPr>
              <w:t>Horizon</w:t>
            </w:r>
          </w:p>
        </w:tc>
      </w:tr>
      <w:tr w:rsidR="003E237B" w:rsidRPr="003E237B" w14:paraId="72128DFF" w14:textId="77777777" w:rsidTr="003E237B">
        <w:tc>
          <w:tcPr>
            <w:tcW w:w="0" w:type="auto"/>
            <w:hideMark/>
          </w:tcPr>
          <w:p w14:paraId="300DB8E5" w14:textId="77777777" w:rsidR="003E237B" w:rsidRPr="003E237B" w:rsidRDefault="003E237B" w:rsidP="003E237B">
            <w:r w:rsidRPr="003E237B">
              <w:t>Post-quantique</w:t>
            </w:r>
          </w:p>
        </w:tc>
        <w:tc>
          <w:tcPr>
            <w:tcW w:w="0" w:type="auto"/>
            <w:hideMark/>
          </w:tcPr>
          <w:p w14:paraId="197B05E1" w14:textId="77777777" w:rsidR="003E237B" w:rsidRPr="003E237B" w:rsidRDefault="003E237B" w:rsidP="003E237B">
            <w:r w:rsidRPr="003E237B">
              <w:t>Inventaire crypto et pilotes PQC</w:t>
            </w:r>
          </w:p>
        </w:tc>
        <w:tc>
          <w:tcPr>
            <w:tcW w:w="0" w:type="auto"/>
            <w:hideMark/>
          </w:tcPr>
          <w:p w14:paraId="1F9D56AA" w14:textId="77777777" w:rsidR="003E237B" w:rsidRPr="003E237B" w:rsidRDefault="003E237B" w:rsidP="003E237B">
            <w:r w:rsidRPr="003E237B">
              <w:t>2025–2027</w:t>
            </w:r>
          </w:p>
        </w:tc>
      </w:tr>
      <w:tr w:rsidR="003E237B" w:rsidRPr="003E237B" w14:paraId="30162DAE" w14:textId="77777777" w:rsidTr="003E237B">
        <w:tc>
          <w:tcPr>
            <w:tcW w:w="0" w:type="auto"/>
            <w:hideMark/>
          </w:tcPr>
          <w:p w14:paraId="4CDE7276" w14:textId="77777777" w:rsidR="003E237B" w:rsidRPr="003E237B" w:rsidRDefault="003E237B" w:rsidP="003E237B">
            <w:r w:rsidRPr="003E237B">
              <w:t>IA défensive</w:t>
            </w:r>
          </w:p>
        </w:tc>
        <w:tc>
          <w:tcPr>
            <w:tcW w:w="0" w:type="auto"/>
            <w:hideMark/>
          </w:tcPr>
          <w:p w14:paraId="0CD9F867" w14:textId="77777777" w:rsidR="003E237B" w:rsidRPr="003E237B" w:rsidRDefault="003E237B" w:rsidP="003E237B">
            <w:r w:rsidRPr="003E237B">
              <w:t>Déploiement SOC automatisés</w:t>
            </w:r>
          </w:p>
        </w:tc>
        <w:tc>
          <w:tcPr>
            <w:tcW w:w="0" w:type="auto"/>
            <w:hideMark/>
          </w:tcPr>
          <w:p w14:paraId="211B5199" w14:textId="77777777" w:rsidR="003E237B" w:rsidRPr="003E237B" w:rsidRDefault="003E237B" w:rsidP="003E237B">
            <w:r w:rsidRPr="003E237B">
              <w:t>2025–2026</w:t>
            </w:r>
          </w:p>
        </w:tc>
      </w:tr>
      <w:tr w:rsidR="003E237B" w:rsidRPr="003E237B" w14:paraId="6080D7CF" w14:textId="77777777" w:rsidTr="003E237B">
        <w:tc>
          <w:tcPr>
            <w:tcW w:w="0" w:type="auto"/>
            <w:hideMark/>
          </w:tcPr>
          <w:p w14:paraId="5DE3308B" w14:textId="77777777" w:rsidR="003E237B" w:rsidRPr="003E237B" w:rsidRDefault="003E237B" w:rsidP="003E237B">
            <w:r w:rsidRPr="003E237B">
              <w:lastRenderedPageBreak/>
              <w:t>Zéro Trust</w:t>
            </w:r>
          </w:p>
        </w:tc>
        <w:tc>
          <w:tcPr>
            <w:tcW w:w="0" w:type="auto"/>
            <w:hideMark/>
          </w:tcPr>
          <w:p w14:paraId="6FCA3782" w14:textId="77777777" w:rsidR="003E237B" w:rsidRPr="003E237B" w:rsidRDefault="003E237B" w:rsidP="003E237B">
            <w:r w:rsidRPr="003E237B">
              <w:t>Cloisonnement complet des accès</w:t>
            </w:r>
          </w:p>
        </w:tc>
        <w:tc>
          <w:tcPr>
            <w:tcW w:w="0" w:type="auto"/>
            <w:hideMark/>
          </w:tcPr>
          <w:p w14:paraId="3BC06F76" w14:textId="77777777" w:rsidR="003E237B" w:rsidRPr="003E237B" w:rsidRDefault="003E237B" w:rsidP="003E237B">
            <w:r w:rsidRPr="003E237B">
              <w:t>2026</w:t>
            </w:r>
          </w:p>
        </w:tc>
      </w:tr>
      <w:tr w:rsidR="003E237B" w:rsidRPr="003E237B" w14:paraId="3261C148" w14:textId="77777777" w:rsidTr="003E237B">
        <w:tc>
          <w:tcPr>
            <w:tcW w:w="0" w:type="auto"/>
            <w:hideMark/>
          </w:tcPr>
          <w:p w14:paraId="49E40727" w14:textId="77777777" w:rsidR="003E237B" w:rsidRPr="003E237B" w:rsidRDefault="003E237B" w:rsidP="003E237B">
            <w:r w:rsidRPr="003E237B">
              <w:t>Durabilité numérique</w:t>
            </w:r>
          </w:p>
        </w:tc>
        <w:tc>
          <w:tcPr>
            <w:tcW w:w="0" w:type="auto"/>
            <w:hideMark/>
          </w:tcPr>
          <w:p w14:paraId="4BF32CAC" w14:textId="77777777" w:rsidR="003E237B" w:rsidRPr="003E237B" w:rsidRDefault="003E237B" w:rsidP="003E237B">
            <w:r w:rsidRPr="003E237B">
              <w:t>Réduction impact CO₂ des SOC et DC</w:t>
            </w:r>
          </w:p>
        </w:tc>
        <w:tc>
          <w:tcPr>
            <w:tcW w:w="0" w:type="auto"/>
            <w:hideMark/>
          </w:tcPr>
          <w:p w14:paraId="4B05A397" w14:textId="77777777" w:rsidR="003E237B" w:rsidRPr="003E237B" w:rsidRDefault="003E237B" w:rsidP="003E237B">
            <w:r w:rsidRPr="003E237B">
              <w:t>2026–2030</w:t>
            </w:r>
          </w:p>
        </w:tc>
      </w:tr>
      <w:tr w:rsidR="003E237B" w:rsidRPr="003E237B" w14:paraId="3286DBA4" w14:textId="77777777" w:rsidTr="003E237B">
        <w:tc>
          <w:tcPr>
            <w:tcW w:w="0" w:type="auto"/>
            <w:hideMark/>
          </w:tcPr>
          <w:p w14:paraId="6B40B06F" w14:textId="77777777" w:rsidR="003E237B" w:rsidRPr="003E237B" w:rsidRDefault="003E237B" w:rsidP="003E237B">
            <w:proofErr w:type="spellStart"/>
            <w:r w:rsidRPr="003E237B">
              <w:t>Cybersouveraineté</w:t>
            </w:r>
            <w:proofErr w:type="spellEnd"/>
          </w:p>
        </w:tc>
        <w:tc>
          <w:tcPr>
            <w:tcW w:w="0" w:type="auto"/>
            <w:hideMark/>
          </w:tcPr>
          <w:p w14:paraId="2BBD84E4" w14:textId="77777777" w:rsidR="003E237B" w:rsidRPr="003E237B" w:rsidRDefault="003E237B" w:rsidP="003E237B">
            <w:r w:rsidRPr="003E237B">
              <w:t>Certification SecNumCloud, code source européen</w:t>
            </w:r>
          </w:p>
        </w:tc>
        <w:tc>
          <w:tcPr>
            <w:tcW w:w="0" w:type="auto"/>
            <w:hideMark/>
          </w:tcPr>
          <w:p w14:paraId="209FEE54" w14:textId="77777777" w:rsidR="003E237B" w:rsidRPr="003E237B" w:rsidRDefault="003E237B" w:rsidP="003E237B">
            <w:r w:rsidRPr="003E237B">
              <w:t>2025–2027</w:t>
            </w:r>
          </w:p>
        </w:tc>
      </w:tr>
    </w:tbl>
    <w:p w14:paraId="7AA4F539" w14:textId="77777777" w:rsidR="003E237B" w:rsidRPr="003E237B" w:rsidRDefault="003E237B" w:rsidP="003E237B">
      <w:r w:rsidRPr="003E237B">
        <w:pict w14:anchorId="7B434E64">
          <v:rect id="_x0000_i1099" style="width:0;height:1.5pt" o:hralign="center" o:hrstd="t" o:hr="t" fillcolor="#a0a0a0" stroked="f"/>
        </w:pict>
      </w:r>
    </w:p>
    <w:p w14:paraId="256072F6" w14:textId="77777777" w:rsidR="003E237B" w:rsidRPr="003E237B" w:rsidRDefault="003E237B" w:rsidP="003E237B">
      <w:pPr>
        <w:rPr>
          <w:b/>
          <w:bCs/>
        </w:rPr>
      </w:pPr>
      <w:r w:rsidRPr="003E237B">
        <w:rPr>
          <w:b/>
          <w:bCs/>
        </w:rPr>
        <w:t>Bibliographie sélective (2025)</w:t>
      </w:r>
    </w:p>
    <w:p w14:paraId="00270689" w14:textId="77777777" w:rsidR="003E237B" w:rsidRPr="003E237B" w:rsidRDefault="003E237B" w:rsidP="003E237B">
      <w:pPr>
        <w:numPr>
          <w:ilvl w:val="0"/>
          <w:numId w:val="26"/>
        </w:numPr>
      </w:pPr>
      <w:r w:rsidRPr="003E237B">
        <w:rPr>
          <w:b/>
          <w:bCs/>
        </w:rPr>
        <w:t>ANSSI (2025)</w:t>
      </w:r>
      <w:r w:rsidRPr="003E237B">
        <w:t xml:space="preserve"> – Feuille de route pour la sécurité post-quantique, recommandations de migration.</w:t>
      </w:r>
    </w:p>
    <w:p w14:paraId="74326DF7" w14:textId="77777777" w:rsidR="003E237B" w:rsidRPr="003E237B" w:rsidRDefault="003E237B" w:rsidP="003E237B">
      <w:pPr>
        <w:numPr>
          <w:ilvl w:val="0"/>
          <w:numId w:val="26"/>
        </w:numPr>
      </w:pPr>
      <w:r w:rsidRPr="003E237B">
        <w:rPr>
          <w:b/>
          <w:bCs/>
        </w:rPr>
        <w:t xml:space="preserve">IBM Security / </w:t>
      </w:r>
      <w:proofErr w:type="spellStart"/>
      <w:r w:rsidRPr="003E237B">
        <w:rPr>
          <w:b/>
          <w:bCs/>
        </w:rPr>
        <w:t>Ponemon</w:t>
      </w:r>
      <w:proofErr w:type="spellEnd"/>
      <w:r w:rsidRPr="003E237B">
        <w:rPr>
          <w:b/>
          <w:bCs/>
        </w:rPr>
        <w:t xml:space="preserve"> Institute (2025)</w:t>
      </w:r>
      <w:r w:rsidRPr="003E237B">
        <w:t xml:space="preserve"> – Étude sur les coûts et délais moyens des violations de données (3,59 M€ en France).</w:t>
      </w:r>
    </w:p>
    <w:p w14:paraId="4DB17F69" w14:textId="77777777" w:rsidR="003E237B" w:rsidRPr="003E237B" w:rsidRDefault="003E237B" w:rsidP="003E237B">
      <w:pPr>
        <w:numPr>
          <w:ilvl w:val="0"/>
          <w:numId w:val="26"/>
        </w:numPr>
      </w:pPr>
      <w:r w:rsidRPr="003E237B">
        <w:rPr>
          <w:b/>
          <w:bCs/>
        </w:rPr>
        <w:t>Le Monde Informatique (2025)</w:t>
      </w:r>
      <w:r w:rsidRPr="003E237B">
        <w:t xml:space="preserve"> – Dossiers : IA défensive, souveraineté cloud, incidents sectoriels.</w:t>
      </w:r>
    </w:p>
    <w:p w14:paraId="2D71CFEA" w14:textId="77777777" w:rsidR="003E237B" w:rsidRPr="003E237B" w:rsidRDefault="003E237B" w:rsidP="003E237B">
      <w:pPr>
        <w:numPr>
          <w:ilvl w:val="0"/>
          <w:numId w:val="26"/>
        </w:numPr>
      </w:pPr>
      <w:r w:rsidRPr="003E237B">
        <w:rPr>
          <w:b/>
          <w:bCs/>
        </w:rPr>
        <w:t>Usine Digitale (2025)</w:t>
      </w:r>
      <w:r w:rsidRPr="003E237B">
        <w:t xml:space="preserve"> – Cas d’entreprises : Picard, Boulanger, Naval Group, CPI.</w:t>
      </w:r>
    </w:p>
    <w:p w14:paraId="024205A6" w14:textId="77777777" w:rsidR="003E237B" w:rsidRPr="003E237B" w:rsidRDefault="003E237B" w:rsidP="003E237B">
      <w:pPr>
        <w:numPr>
          <w:ilvl w:val="0"/>
          <w:numId w:val="26"/>
        </w:numPr>
      </w:pPr>
      <w:r w:rsidRPr="003E237B">
        <w:rPr>
          <w:b/>
          <w:bCs/>
        </w:rPr>
        <w:t>Free Pro / HPE / Thales (2025)</w:t>
      </w:r>
      <w:r w:rsidRPr="003E237B">
        <w:t xml:space="preserve"> – Exemples de mise en œuvre de solutions IA de détection et de défense automatisée.</w:t>
      </w:r>
    </w:p>
    <w:p w14:paraId="354E3D43" w14:textId="77777777" w:rsidR="001E273A" w:rsidRPr="007C05B7" w:rsidRDefault="001E273A" w:rsidP="007C05B7"/>
    <w:sectPr w:rsidR="001E273A" w:rsidRPr="007C05B7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731C" w14:textId="77777777" w:rsidR="009A5175" w:rsidRDefault="009A5175" w:rsidP="004C7BF0">
      <w:r>
        <w:separator/>
      </w:r>
    </w:p>
  </w:endnote>
  <w:endnote w:type="continuationSeparator" w:id="0">
    <w:p w14:paraId="2D5CCBE6" w14:textId="77777777" w:rsidR="009A5175" w:rsidRDefault="009A5175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98EE" w14:textId="77777777" w:rsidR="009A5175" w:rsidRDefault="009A5175" w:rsidP="004C7BF0">
      <w:r>
        <w:separator/>
      </w:r>
    </w:p>
  </w:footnote>
  <w:footnote w:type="continuationSeparator" w:id="0">
    <w:p w14:paraId="56825091" w14:textId="77777777" w:rsidR="009A5175" w:rsidRDefault="009A5175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5867"/>
    <w:multiLevelType w:val="multilevel"/>
    <w:tmpl w:val="3D36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4016A"/>
    <w:multiLevelType w:val="multilevel"/>
    <w:tmpl w:val="EBA4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F05"/>
    <w:multiLevelType w:val="multilevel"/>
    <w:tmpl w:val="107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D7563"/>
    <w:multiLevelType w:val="multilevel"/>
    <w:tmpl w:val="3EBA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E13F6"/>
    <w:multiLevelType w:val="hybridMultilevel"/>
    <w:tmpl w:val="ACD4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C3175"/>
    <w:multiLevelType w:val="multilevel"/>
    <w:tmpl w:val="3448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170BC"/>
    <w:multiLevelType w:val="hybridMultilevel"/>
    <w:tmpl w:val="BF26BDF2"/>
    <w:lvl w:ilvl="0" w:tplc="859C16DE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051BF"/>
    <w:multiLevelType w:val="multilevel"/>
    <w:tmpl w:val="8FC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C7870"/>
    <w:multiLevelType w:val="multilevel"/>
    <w:tmpl w:val="6968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137530"/>
    <w:multiLevelType w:val="multilevel"/>
    <w:tmpl w:val="1C9E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0"/>
  </w:num>
  <w:num w:numId="2" w16cid:durableId="1969772821">
    <w:abstractNumId w:val="6"/>
  </w:num>
  <w:num w:numId="3" w16cid:durableId="993755049">
    <w:abstractNumId w:val="14"/>
  </w:num>
  <w:num w:numId="4" w16cid:durableId="88350905">
    <w:abstractNumId w:val="25"/>
  </w:num>
  <w:num w:numId="5" w16cid:durableId="1259873310">
    <w:abstractNumId w:val="0"/>
  </w:num>
  <w:num w:numId="6" w16cid:durableId="940913695">
    <w:abstractNumId w:val="12"/>
  </w:num>
  <w:num w:numId="7" w16cid:durableId="816412162">
    <w:abstractNumId w:val="18"/>
  </w:num>
  <w:num w:numId="8" w16cid:durableId="164636122">
    <w:abstractNumId w:val="23"/>
  </w:num>
  <w:num w:numId="9" w16cid:durableId="1391228641">
    <w:abstractNumId w:val="10"/>
  </w:num>
  <w:num w:numId="10" w16cid:durableId="1693265206">
    <w:abstractNumId w:val="8"/>
  </w:num>
  <w:num w:numId="11" w16cid:durableId="1273130144">
    <w:abstractNumId w:val="5"/>
  </w:num>
  <w:num w:numId="12" w16cid:durableId="1490556548">
    <w:abstractNumId w:val="22"/>
  </w:num>
  <w:num w:numId="13" w16cid:durableId="1488012275">
    <w:abstractNumId w:val="21"/>
  </w:num>
  <w:num w:numId="14" w16cid:durableId="669020599">
    <w:abstractNumId w:val="2"/>
  </w:num>
  <w:num w:numId="15" w16cid:durableId="818350440">
    <w:abstractNumId w:val="19"/>
  </w:num>
  <w:num w:numId="16" w16cid:durableId="1939824947">
    <w:abstractNumId w:val="24"/>
  </w:num>
  <w:num w:numId="17" w16cid:durableId="823933720">
    <w:abstractNumId w:val="13"/>
  </w:num>
  <w:num w:numId="18" w16cid:durableId="479734414">
    <w:abstractNumId w:val="9"/>
  </w:num>
  <w:num w:numId="19" w16cid:durableId="1067144690">
    <w:abstractNumId w:val="16"/>
  </w:num>
  <w:num w:numId="20" w16cid:durableId="1773547034">
    <w:abstractNumId w:val="15"/>
  </w:num>
  <w:num w:numId="21" w16cid:durableId="1425570274">
    <w:abstractNumId w:val="11"/>
  </w:num>
  <w:num w:numId="22" w16cid:durableId="1355577702">
    <w:abstractNumId w:val="7"/>
  </w:num>
  <w:num w:numId="23" w16cid:durableId="1158496236">
    <w:abstractNumId w:val="4"/>
  </w:num>
  <w:num w:numId="24" w16cid:durableId="754977155">
    <w:abstractNumId w:val="1"/>
  </w:num>
  <w:num w:numId="25" w16cid:durableId="985547437">
    <w:abstractNumId w:val="3"/>
  </w:num>
  <w:num w:numId="26" w16cid:durableId="571083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7241A"/>
    <w:rsid w:val="00115298"/>
    <w:rsid w:val="00135CDD"/>
    <w:rsid w:val="00151806"/>
    <w:rsid w:val="001D0EEB"/>
    <w:rsid w:val="001E273A"/>
    <w:rsid w:val="00316764"/>
    <w:rsid w:val="003276BD"/>
    <w:rsid w:val="00346F55"/>
    <w:rsid w:val="003E237B"/>
    <w:rsid w:val="0044368F"/>
    <w:rsid w:val="004A6242"/>
    <w:rsid w:val="004C7BF0"/>
    <w:rsid w:val="004D247E"/>
    <w:rsid w:val="005172DB"/>
    <w:rsid w:val="005335CF"/>
    <w:rsid w:val="005453AD"/>
    <w:rsid w:val="0056430E"/>
    <w:rsid w:val="00580F46"/>
    <w:rsid w:val="005F381E"/>
    <w:rsid w:val="00620090"/>
    <w:rsid w:val="006460AB"/>
    <w:rsid w:val="00677D09"/>
    <w:rsid w:val="006A78B6"/>
    <w:rsid w:val="006B7971"/>
    <w:rsid w:val="00713AC4"/>
    <w:rsid w:val="007C05B7"/>
    <w:rsid w:val="00830A03"/>
    <w:rsid w:val="008608D3"/>
    <w:rsid w:val="00960C5A"/>
    <w:rsid w:val="00964131"/>
    <w:rsid w:val="00965BD9"/>
    <w:rsid w:val="009A5175"/>
    <w:rsid w:val="00B4568C"/>
    <w:rsid w:val="00B649B3"/>
    <w:rsid w:val="00CA4633"/>
    <w:rsid w:val="00CE15A3"/>
    <w:rsid w:val="00D016DC"/>
    <w:rsid w:val="00F47F65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568C"/>
    <w:pPr>
      <w:keepNext/>
      <w:keepLines/>
      <w:numPr>
        <w:numId w:val="17"/>
      </w:numPr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4568C"/>
    <w:rPr>
      <w:rFonts w:asciiTheme="majorHAnsi" w:eastAsia="Times New Roman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table" w:styleId="Grilledutableau">
    <w:name w:val="Table Grid"/>
    <w:basedOn w:val="TableauNormal"/>
    <w:uiPriority w:val="39"/>
    <w:rsid w:val="003E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2024-10-21T05:24:00Z</cp:lastPrinted>
  <dcterms:created xsi:type="dcterms:W3CDTF">2024-11-16T09:38:00Z</dcterms:created>
  <dcterms:modified xsi:type="dcterms:W3CDTF">2025-10-17T05:55:00Z</dcterms:modified>
</cp:coreProperties>
</file>